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300"/>
      </w:tblGrid>
      <w:tr w:rsidR="00AC4B88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4B88" w:rsidRDefault="004248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Univers BoldExt" w:hAnsi="Univers BoldExt"/>
                <w:noProof/>
                <w:color w:val="003366"/>
                <w:sz w:val="18"/>
              </w:rPr>
              <w:drawing>
                <wp:inline distT="0" distB="0" distL="0" distR="0">
                  <wp:extent cx="1863090" cy="612775"/>
                  <wp:effectExtent l="0" t="0" r="3810" b="0"/>
                  <wp:docPr id="1" name="Picture 1" descr="NAU_Prim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_Prim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4B88" w:rsidRDefault="00AC4B88">
            <w:pPr>
              <w:pStyle w:val="Heading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Faculty, Administrative Faculty and Academic Professionals</w:t>
            </w:r>
            <w:r>
              <w:rPr>
                <w:color w:val="000000"/>
                <w:sz w:val="20"/>
                <w:szCs w:val="20"/>
              </w:rPr>
              <w:t xml:space="preserve"> Vacancy Announcement Request</w:t>
            </w:r>
          </w:p>
          <w:p w:rsidR="00AC4B88" w:rsidRDefault="00AC4B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Human Resources Department</w:t>
            </w:r>
          </w:p>
          <w:p w:rsidR="00AC4B88" w:rsidRDefault="00AC4B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Box 4113  Flagstaff, AZ 86011-4113</w:t>
            </w:r>
          </w:p>
          <w:p w:rsidR="00AC4B88" w:rsidRDefault="00A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(928) 523-2223  http://www.nau.edu/hr</w:t>
            </w:r>
          </w:p>
        </w:tc>
      </w:tr>
    </w:tbl>
    <w:p w:rsidR="00AC4B88" w:rsidRDefault="00AC4B88">
      <w:pPr>
        <w:rPr>
          <w:rFonts w:ascii="Arial" w:hAnsi="Arial" w:cs="Arial"/>
          <w:b/>
          <w:bCs/>
          <w:sz w:val="20"/>
          <w:szCs w:val="20"/>
        </w:rPr>
      </w:pPr>
    </w:p>
    <w:p w:rsidR="00AC4B88" w:rsidRDefault="00AC4B88">
      <w:pPr>
        <w:pStyle w:val="Heading2"/>
      </w:pPr>
      <w:r>
        <w:t>Position Announcement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9"/>
        <w:gridCol w:w="8821"/>
      </w:tblGrid>
      <w:tr w:rsidR="00AC4B88">
        <w:trPr>
          <w:trHeight w:val="183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AC4B88" w:rsidRDefault="00AC4B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 Available: </w:t>
            </w:r>
          </w:p>
        </w:tc>
        <w:tc>
          <w:tcPr>
            <w:tcW w:w="8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B88" w:rsidRDefault="00B20FD4" w:rsidP="00381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Lecturer</w:t>
            </w:r>
            <w:r w:rsidR="00AC4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8E7">
              <w:rPr>
                <w:rFonts w:ascii="Arial" w:hAnsi="Arial" w:cs="Arial"/>
                <w:sz w:val="18"/>
                <w:szCs w:val="18"/>
              </w:rPr>
              <w:t xml:space="preserve">or Assistant Professor of Practice </w:t>
            </w:r>
            <w:r w:rsidR="00AC4B88">
              <w:rPr>
                <w:rFonts w:ascii="Arial" w:hAnsi="Arial" w:cs="Arial"/>
                <w:sz w:val="18"/>
                <w:szCs w:val="18"/>
              </w:rPr>
              <w:t xml:space="preserve"> of  </w:t>
            </w:r>
            <w:r w:rsidR="003818E7">
              <w:rPr>
                <w:rFonts w:ascii="Arial" w:hAnsi="Arial" w:cs="Arial"/>
                <w:sz w:val="18"/>
                <w:szCs w:val="18"/>
              </w:rPr>
              <w:t>Information Systems Technology (ISM)</w:t>
            </w:r>
          </w:p>
        </w:tc>
      </w:tr>
      <w:tr w:rsidR="00AC4B88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AC4B88" w:rsidRDefault="00AC4B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Department: </w:t>
            </w:r>
          </w:p>
        </w:tc>
        <w:tc>
          <w:tcPr>
            <w:tcW w:w="8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W. A. Franke College of Business</w:t>
            </w:r>
            <w:r w:rsidR="00CD11C0">
              <w:rPr>
                <w:rFonts w:ascii="Arial" w:hAnsi="Arial" w:cs="Arial"/>
                <w:sz w:val="18"/>
                <w:szCs w:val="18"/>
              </w:rPr>
              <w:t xml:space="preserve"> (FCB)</w:t>
            </w:r>
          </w:p>
        </w:tc>
      </w:tr>
    </w:tbl>
    <w:p w:rsidR="00AC4B88" w:rsidRDefault="00AC4B88">
      <w:pPr>
        <w:jc w:val="both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C4B88"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(This section includes information such a notation if the position is subject to the availability of funding, the location of the position if other than the Flagstaff Campus, and tenure track eligibility).</w:t>
            </w:r>
          </w:p>
        </w:tc>
      </w:tr>
      <w:tr w:rsidR="00AC4B88">
        <w:trPr>
          <w:trHeight w:val="845"/>
        </w:trPr>
        <w:tc>
          <w:tcPr>
            <w:tcW w:w="10800" w:type="dxa"/>
          </w:tcPr>
          <w:p w:rsidR="00AC4B88" w:rsidRDefault="00AC4B88" w:rsidP="003818E7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Tenure-Track Position </w:t>
            </w:r>
            <w:r w:rsidR="003818E7">
              <w:rPr>
                <w:rFonts w:ascii="Arial" w:hAnsi="Arial" w:cs="Arial"/>
                <w:b/>
                <w:sz w:val="20"/>
                <w:szCs w:val="20"/>
              </w:rPr>
              <w:t>in Information Systems Technology.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8E7" w:rsidRPr="00F13260">
              <w:rPr>
                <w:rFonts w:ascii="Arial" w:hAnsi="Arial" w:cs="Arial"/>
                <w:sz w:val="20"/>
                <w:szCs w:val="20"/>
              </w:rPr>
              <w:t xml:space="preserve">Full-time, non tenure-track position at the lecturer </w:t>
            </w:r>
            <w:r w:rsidR="003818E7">
              <w:rPr>
                <w:rFonts w:ascii="Arial" w:hAnsi="Arial" w:cs="Arial"/>
                <w:sz w:val="20"/>
                <w:szCs w:val="20"/>
              </w:rPr>
              <w:t xml:space="preserve">or assistant professor of practice </w:t>
            </w:r>
            <w:r w:rsidR="003818E7" w:rsidRPr="00F13260">
              <w:rPr>
                <w:rFonts w:ascii="Arial" w:hAnsi="Arial" w:cs="Arial"/>
                <w:sz w:val="20"/>
                <w:szCs w:val="20"/>
              </w:rPr>
              <w:t>level to begin August 201</w:t>
            </w:r>
            <w:r w:rsidR="003818E7">
              <w:rPr>
                <w:rFonts w:ascii="Arial" w:hAnsi="Arial" w:cs="Arial"/>
                <w:sz w:val="20"/>
                <w:szCs w:val="20"/>
              </w:rPr>
              <w:t>6</w:t>
            </w:r>
            <w:r w:rsidR="003818E7" w:rsidRPr="00F13260">
              <w:rPr>
                <w:rFonts w:ascii="Arial" w:hAnsi="Arial" w:cs="Arial"/>
                <w:sz w:val="20"/>
                <w:szCs w:val="20"/>
              </w:rPr>
              <w:t>. Position is a benefit eligible non-tenure track lecturer for the 201</w:t>
            </w:r>
            <w:r w:rsidR="003818E7">
              <w:rPr>
                <w:rFonts w:ascii="Arial" w:hAnsi="Arial" w:cs="Arial"/>
                <w:sz w:val="20"/>
                <w:szCs w:val="20"/>
              </w:rPr>
              <w:t>6</w:t>
            </w:r>
            <w:r w:rsidR="003818E7" w:rsidRPr="00F13260">
              <w:rPr>
                <w:rFonts w:ascii="Arial" w:hAnsi="Arial" w:cs="Arial"/>
                <w:sz w:val="20"/>
                <w:szCs w:val="20"/>
              </w:rPr>
              <w:t>-201</w:t>
            </w:r>
            <w:r w:rsidR="003818E7">
              <w:rPr>
                <w:rFonts w:ascii="Arial" w:hAnsi="Arial" w:cs="Arial"/>
                <w:sz w:val="20"/>
                <w:szCs w:val="20"/>
              </w:rPr>
              <w:t>7</w:t>
            </w:r>
            <w:r w:rsidR="003818E7" w:rsidRPr="00F13260">
              <w:rPr>
                <w:rFonts w:ascii="Arial" w:hAnsi="Arial" w:cs="Arial"/>
                <w:sz w:val="20"/>
                <w:szCs w:val="20"/>
              </w:rPr>
              <w:t xml:space="preserve"> academic year with the possibility of renewal depending on performance, program needs and availability of funding </w:t>
            </w:r>
          </w:p>
        </w:tc>
      </w:tr>
      <w:tr w:rsidR="00AC4B88"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Description</w:t>
            </w:r>
          </w:p>
        </w:tc>
      </w:tr>
      <w:tr w:rsidR="00AC4B88">
        <w:trPr>
          <w:trHeight w:val="1178"/>
        </w:trPr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DESCRIPTION:</w:t>
            </w:r>
          </w:p>
          <w:p w:rsidR="00AC4B88" w:rsidRDefault="00AC4B88" w:rsidP="003818E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12 </w:t>
            </w:r>
            <w:r w:rsidR="005450EF">
              <w:rPr>
                <w:rFonts w:ascii="Arial" w:hAnsi="Arial" w:cs="Arial"/>
                <w:sz w:val="20"/>
                <w:szCs w:val="20"/>
              </w:rPr>
              <w:t xml:space="preserve">credit hours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undergraduate courses in each of the fall and spring semesters. </w:t>
            </w:r>
          </w:p>
          <w:p w:rsidR="00B20FD4" w:rsidRDefault="00B20FD4" w:rsidP="003818E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career advisement to students.</w:t>
            </w:r>
          </w:p>
          <w:p w:rsidR="00AC4B88" w:rsidRDefault="00AC4B88" w:rsidP="003818E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541D00">
              <w:rPr>
                <w:rFonts w:ascii="Arial" w:hAnsi="Arial" w:cs="Arial"/>
                <w:sz w:val="20"/>
                <w:szCs w:val="20"/>
              </w:rPr>
              <w:t>the information systems</w:t>
            </w:r>
            <w:r w:rsidR="009E64E2">
              <w:rPr>
                <w:rFonts w:ascii="Arial" w:hAnsi="Arial" w:cs="Arial"/>
                <w:sz w:val="20"/>
                <w:szCs w:val="20"/>
              </w:rPr>
              <w:t xml:space="preserve"> area,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  <w:r w:rsidR="009E64E2">
              <w:rPr>
                <w:rFonts w:ascii="Arial" w:hAnsi="Arial" w:cs="Arial"/>
                <w:sz w:val="20"/>
                <w:szCs w:val="20"/>
              </w:rPr>
              <w:t xml:space="preserve"> and NAU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activities.  </w:t>
            </w:r>
          </w:p>
          <w:p w:rsidR="003818E7" w:rsidRPr="009C0C3A" w:rsidRDefault="003818E7" w:rsidP="003818E7">
            <w:pPr>
              <w:numPr>
                <w:ilvl w:val="0"/>
                <w:numId w:val="1"/>
              </w:numPr>
              <w:autoSpaceDE/>
              <w:autoSpaceDN/>
              <w:rPr>
                <w:rStyle w:val="pslongeditbox"/>
                <w:rFonts w:ascii="Arial" w:hAnsi="Arial" w:cs="Arial"/>
                <w:sz w:val="20"/>
                <w:szCs w:val="20"/>
              </w:rPr>
            </w:pPr>
            <w:r w:rsidRPr="00E637B5">
              <w:rPr>
                <w:rFonts w:ascii="Arial" w:hAnsi="Arial" w:cs="Arial"/>
                <w:sz w:val="20"/>
                <w:szCs w:val="20"/>
              </w:rPr>
              <w:t>Engage in a program of intellectual activities or professional</w:t>
            </w:r>
            <w:r w:rsidRPr="00581588">
              <w:rPr>
                <w:rFonts w:ascii="Arial" w:hAnsi="Arial" w:cs="Arial"/>
                <w:sz w:val="20"/>
                <w:szCs w:val="20"/>
              </w:rPr>
              <w:t xml:space="preserve"> qualification requirements in </w:t>
            </w:r>
            <w:r w:rsidRPr="00E637B5">
              <w:rPr>
                <w:rFonts w:ascii="Arial" w:hAnsi="Arial" w:cs="Arial"/>
                <w:sz w:val="20"/>
                <w:szCs w:val="20"/>
              </w:rPr>
              <w:t>accordanc</w:t>
            </w:r>
            <w:r>
              <w:rPr>
                <w:rFonts w:ascii="Arial" w:hAnsi="Arial" w:cs="Arial"/>
                <w:sz w:val="20"/>
                <w:szCs w:val="20"/>
              </w:rPr>
              <w:t xml:space="preserve">e with FCB and AACSB guidelines </w:t>
            </w:r>
            <w:r w:rsidRPr="009C0C3A">
              <w:rPr>
                <w:rFonts w:ascii="Arial" w:hAnsi="Arial" w:cs="Arial"/>
                <w:sz w:val="20"/>
                <w:szCs w:val="20"/>
              </w:rPr>
              <w:t>(</w:t>
            </w:r>
            <w:hyperlink r:id="rId6" w:history="1">
              <w:r w:rsidRPr="009C0C3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http://www.aacsb.edu/accreditation/business/standards/2013/academic-and-professional-engagement/standard15.asp</w:t>
              </w:r>
            </w:hyperlink>
            <w:r w:rsidRPr="009C0C3A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</w:p>
          <w:p w:rsidR="009E64E2" w:rsidRDefault="009E64E2" w:rsidP="003818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E46D9" w:rsidRDefault="008E46D9" w:rsidP="008E46D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B88"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Qualifications</w:t>
            </w:r>
          </w:p>
        </w:tc>
      </w:tr>
      <w:tr w:rsidR="00AC4B88">
        <w:trPr>
          <w:trHeight w:val="1160"/>
        </w:trPr>
        <w:tc>
          <w:tcPr>
            <w:tcW w:w="10800" w:type="dxa"/>
          </w:tcPr>
          <w:p w:rsidR="008256E9" w:rsidRPr="008256E9" w:rsidRDefault="003818E7" w:rsidP="003818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Lecturer Level:</w:t>
            </w:r>
          </w:p>
          <w:p w:rsidR="00DE5F88" w:rsidRPr="00F13260" w:rsidRDefault="00DE5F88" w:rsidP="00DE5F88">
            <w:pPr>
              <w:numPr>
                <w:ilvl w:val="0"/>
                <w:numId w:val="2"/>
              </w:numPr>
              <w:autoSpaceDE/>
              <w:autoSpaceDN/>
              <w:rPr>
                <w:rStyle w:val="pslongeditbox"/>
                <w:rFonts w:ascii="Arial" w:hAnsi="Arial" w:cs="Arial"/>
                <w:sz w:val="20"/>
                <w:szCs w:val="20"/>
              </w:rPr>
            </w:pPr>
            <w:r w:rsidRPr="00F13260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Graduate degree (Master’s Degree </w:t>
            </w:r>
            <w:r>
              <w:rPr>
                <w:rStyle w:val="pslongeditbox"/>
                <w:rFonts w:ascii="Arial" w:hAnsi="Arial" w:cs="Arial"/>
                <w:sz w:val="20"/>
                <w:szCs w:val="20"/>
              </w:rPr>
              <w:t>or higher with a concentration in Information systems or related field</w:t>
            </w:r>
            <w:r w:rsidR="005450EF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) from an </w:t>
            </w:r>
            <w:r w:rsidRPr="00F13260">
              <w:rPr>
                <w:rStyle w:val="pslongeditbox"/>
                <w:rFonts w:ascii="Arial" w:hAnsi="Arial" w:cs="Arial"/>
                <w:sz w:val="20"/>
                <w:szCs w:val="20"/>
              </w:rPr>
              <w:t>accredited institution.</w:t>
            </w:r>
          </w:p>
          <w:p w:rsidR="003818E7" w:rsidRPr="009C0C3A" w:rsidRDefault="003818E7" w:rsidP="00DE5F88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years’ e</w:t>
            </w:r>
            <w:r w:rsidRPr="00F13260">
              <w:rPr>
                <w:rFonts w:ascii="Arial" w:hAnsi="Arial" w:cs="Arial"/>
                <w:sz w:val="20"/>
                <w:szCs w:val="20"/>
              </w:rPr>
              <w:t>xperience teaching accounting at the university level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13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18E7" w:rsidRPr="0095595F" w:rsidRDefault="003818E7" w:rsidP="00DE5F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1F497D"/>
              </w:rPr>
            </w:pPr>
            <w:r w:rsidRPr="00F13260">
              <w:rPr>
                <w:rFonts w:ascii="Arial" w:hAnsi="Arial" w:cs="Arial"/>
                <w:sz w:val="20"/>
                <w:szCs w:val="20"/>
              </w:rPr>
              <w:t xml:space="preserve">Ability to meet AACSB academic or professional qualification requirements </w:t>
            </w:r>
            <w:r>
              <w:rPr>
                <w:rFonts w:ascii="Arial" w:hAnsi="Arial" w:cs="Arial"/>
                <w:sz w:val="20"/>
                <w:szCs w:val="20"/>
              </w:rPr>
              <w:t>(as referenced above).</w:t>
            </w:r>
          </w:p>
          <w:p w:rsidR="008256E9" w:rsidRPr="008256E9" w:rsidRDefault="003818E7" w:rsidP="003818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256E9">
              <w:rPr>
                <w:rFonts w:ascii="Arial" w:hAnsi="Arial" w:cs="Arial"/>
                <w:sz w:val="18"/>
                <w:szCs w:val="18"/>
              </w:rPr>
              <w:t>Assistant Professor of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256E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E5F88" w:rsidRPr="00F13260" w:rsidRDefault="005450EF" w:rsidP="00DE5F88">
            <w:pPr>
              <w:numPr>
                <w:ilvl w:val="0"/>
                <w:numId w:val="2"/>
              </w:numPr>
              <w:autoSpaceDE/>
              <w:autoSpaceDN/>
              <w:rPr>
                <w:rStyle w:val="pslongeditbox"/>
                <w:rFonts w:ascii="Arial" w:hAnsi="Arial" w:cs="Arial"/>
                <w:sz w:val="20"/>
                <w:szCs w:val="20"/>
              </w:rPr>
            </w:pPr>
            <w:r>
              <w:rPr>
                <w:rStyle w:val="pslongeditbox"/>
                <w:rFonts w:ascii="Arial" w:hAnsi="Arial" w:cs="Arial"/>
                <w:sz w:val="20"/>
                <w:szCs w:val="20"/>
              </w:rPr>
              <w:t>Graduate degree (</w:t>
            </w:r>
            <w:r w:rsidR="00DE5F88" w:rsidRPr="00F13260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Master’s Degree </w:t>
            </w:r>
            <w:r w:rsidR="00DE5F88">
              <w:rPr>
                <w:rStyle w:val="pslongeditbox"/>
                <w:rFonts w:ascii="Arial" w:hAnsi="Arial" w:cs="Arial"/>
                <w:sz w:val="20"/>
                <w:szCs w:val="20"/>
              </w:rPr>
              <w:t>or higher with a concentration in Information systems or related field</w:t>
            </w:r>
            <w:r>
              <w:rPr>
                <w:rStyle w:val="pslongeditbox"/>
                <w:rFonts w:ascii="Arial" w:hAnsi="Arial" w:cs="Arial"/>
                <w:sz w:val="20"/>
                <w:szCs w:val="20"/>
              </w:rPr>
              <w:t>) from an accredited institution.</w:t>
            </w:r>
          </w:p>
          <w:p w:rsidR="003818E7" w:rsidRDefault="003818E7" w:rsidP="00DE5F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65D3A">
              <w:rPr>
                <w:rFonts w:ascii="Arial" w:hAnsi="Arial" w:cs="Arial"/>
                <w:sz w:val="20"/>
                <w:szCs w:val="20"/>
              </w:rPr>
              <w:t xml:space="preserve"> years professional experience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Pr="008B0209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u</w:t>
            </w:r>
            <w:r w:rsidRPr="009C0C3A">
              <w:rPr>
                <w:rFonts w:ascii="Arial" w:hAnsi="Arial" w:cs="Arial"/>
                <w:sz w:val="20"/>
                <w:szCs w:val="20"/>
              </w:rPr>
              <w:t>pper-level management experience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0C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information systems</w:t>
            </w:r>
          </w:p>
          <w:p w:rsidR="003818E7" w:rsidRPr="0095595F" w:rsidRDefault="003818E7" w:rsidP="00DE5F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1F497D"/>
              </w:rPr>
            </w:pPr>
            <w:r w:rsidRPr="00F13260">
              <w:rPr>
                <w:rFonts w:ascii="Arial" w:hAnsi="Arial" w:cs="Arial"/>
                <w:sz w:val="20"/>
                <w:szCs w:val="20"/>
              </w:rPr>
              <w:t>Ability to meet AACSB academic or professional qualification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(as referenced above).</w:t>
            </w:r>
            <w:r w:rsidRPr="00F13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4B88" w:rsidRDefault="00AC4B88" w:rsidP="008E46D9">
            <w:pPr>
              <w:autoSpaceDE/>
              <w:autoSpaceDN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B88"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Preferred Qualifications </w:t>
            </w:r>
          </w:p>
        </w:tc>
      </w:tr>
      <w:tr w:rsidR="00AC4B88">
        <w:trPr>
          <w:trHeight w:val="1133"/>
        </w:trPr>
        <w:tc>
          <w:tcPr>
            <w:tcW w:w="10800" w:type="dxa"/>
          </w:tcPr>
          <w:p w:rsidR="005450EF" w:rsidRDefault="005450EF" w:rsidP="00F808BD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 or higher from an AACSB, ABET or EQUIS accredited institution.</w:t>
            </w:r>
          </w:p>
          <w:p w:rsidR="00AC4B88" w:rsidRDefault="00AC4B88" w:rsidP="00F808BD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excellence in teaching</w:t>
            </w:r>
            <w:r w:rsidR="00D07AB5">
              <w:rPr>
                <w:rFonts w:ascii="Arial" w:hAnsi="Arial" w:cs="Arial"/>
                <w:sz w:val="20"/>
                <w:szCs w:val="20"/>
              </w:rPr>
              <w:t xml:space="preserve"> as documented by a pattern of strong teaching evaluations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F808BD" w:rsidRPr="00580F97" w:rsidRDefault="00F808BD" w:rsidP="00F808BD">
            <w:pPr>
              <w:numPr>
                <w:ilvl w:val="0"/>
                <w:numId w:val="3"/>
              </w:numPr>
              <w:autoSpaceDE/>
              <w:autoSpaceDN/>
              <w:rPr>
                <w:rStyle w:val="pslongeditbox"/>
                <w:rFonts w:ascii="Arial" w:hAnsi="Arial" w:cs="Arial"/>
                <w:sz w:val="20"/>
                <w:szCs w:val="20"/>
              </w:rPr>
            </w:pPr>
            <w:r w:rsidRPr="00580F97">
              <w:rPr>
                <w:rStyle w:val="pslongeditbox"/>
                <w:rFonts w:ascii="Arial" w:hAnsi="Arial" w:cs="Arial"/>
                <w:sz w:val="20"/>
                <w:szCs w:val="20"/>
              </w:rPr>
              <w:t>Willingness and ability to teach</w:t>
            </w:r>
            <w:r w:rsidR="008E46D9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 coordinated</w:t>
            </w:r>
            <w:r w:rsidRPr="00580F97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 undergraduate level computer information systems courses.</w:t>
            </w:r>
          </w:p>
          <w:p w:rsidR="00F808BD" w:rsidRDefault="00F808BD" w:rsidP="00F808BD">
            <w:pPr>
              <w:numPr>
                <w:ilvl w:val="0"/>
                <w:numId w:val="3"/>
              </w:numPr>
              <w:autoSpaceDE/>
              <w:autoSpaceDN/>
              <w:rPr>
                <w:rStyle w:val="pslongeditbox"/>
                <w:rFonts w:ascii="Arial" w:hAnsi="Arial" w:cs="Arial"/>
                <w:sz w:val="20"/>
                <w:szCs w:val="20"/>
              </w:rPr>
            </w:pPr>
            <w:r w:rsidRPr="00580F97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Certification in Microsoft Office </w:t>
            </w:r>
            <w:r w:rsidR="00A92647">
              <w:rPr>
                <w:rStyle w:val="pslongeditbox"/>
                <w:rFonts w:ascii="Arial" w:hAnsi="Arial" w:cs="Arial"/>
                <w:sz w:val="20"/>
                <w:szCs w:val="20"/>
              </w:rPr>
              <w:t>2013</w:t>
            </w:r>
            <w:r w:rsidR="008E46D9">
              <w:rPr>
                <w:rStyle w:val="pslongeditbox"/>
                <w:rFonts w:ascii="Arial" w:hAnsi="Arial" w:cs="Arial"/>
                <w:sz w:val="20"/>
                <w:szCs w:val="20"/>
              </w:rPr>
              <w:t xml:space="preserve"> </w:t>
            </w:r>
            <w:r w:rsidRPr="00580F97">
              <w:rPr>
                <w:rStyle w:val="pslongeditbox"/>
                <w:rFonts w:ascii="Arial" w:hAnsi="Arial" w:cs="Arial"/>
                <w:sz w:val="20"/>
                <w:szCs w:val="20"/>
              </w:rPr>
              <w:t>applications</w:t>
            </w:r>
          </w:p>
          <w:p w:rsidR="006F159F" w:rsidRPr="00580F97" w:rsidRDefault="006F159F" w:rsidP="00F808BD">
            <w:pPr>
              <w:numPr>
                <w:ilvl w:val="0"/>
                <w:numId w:val="3"/>
              </w:numPr>
              <w:autoSpaceDE/>
              <w:autoSpaceDN/>
              <w:rPr>
                <w:rStyle w:val="pslongeditbox"/>
                <w:rFonts w:ascii="Arial" w:hAnsi="Arial" w:cs="Arial"/>
                <w:sz w:val="20"/>
                <w:szCs w:val="20"/>
              </w:rPr>
            </w:pPr>
            <w:r>
              <w:rPr>
                <w:rStyle w:val="pslongeditbox"/>
                <w:rFonts w:ascii="Arial" w:hAnsi="Arial" w:cs="Arial"/>
                <w:sz w:val="20"/>
                <w:szCs w:val="20"/>
              </w:rPr>
              <w:t>Demonstrated currency in the field of Information Technology/Information Systems</w:t>
            </w:r>
          </w:p>
          <w:p w:rsidR="00AC4B88" w:rsidRDefault="00AC4B88" w:rsidP="00F808BD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in teaching in collaboration with other business faculty.</w:t>
            </w:r>
          </w:p>
          <w:p w:rsidR="006F159F" w:rsidRPr="006F159F" w:rsidRDefault="00AC4B88" w:rsidP="006F159F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 w:rsidR="00523130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6F159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potential for</w:t>
            </w:r>
            <w:r w:rsidR="006F159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excellence in working with multicultural constituencies.</w:t>
            </w:r>
          </w:p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B88"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General Information </w:t>
            </w:r>
            <w:r>
              <w:rPr>
                <w:rFonts w:ascii="Arial" w:hAnsi="Arial" w:cs="Arial"/>
                <w:sz w:val="18"/>
                <w:szCs w:val="18"/>
              </w:rPr>
              <w:t>(This section includes information about the University or the specific department or program, and background checking requirements.  All job duties should be included in the Job Description section)</w:t>
            </w:r>
          </w:p>
        </w:tc>
      </w:tr>
      <w:tr w:rsidR="00AC4B88">
        <w:trPr>
          <w:trHeight w:val="1223"/>
        </w:trPr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1C0" w:rsidRDefault="00CD11C0" w:rsidP="00CD11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Arizona University has a student population of about 2</w:t>
            </w:r>
            <w:r w:rsidR="005450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,000 at its main campus in Flagstaff and at 30 sites across the state.  Committed to a diverse and civil working and learning environment, NAU has earned a solid reputation as a university with all the features of a large institution but with a personal touch. NAU carefully balances teaching, scholarship and service with a faculty and staff dedicated to each student’s success.  </w:t>
            </w:r>
            <w:r>
              <w:rPr>
                <w:rFonts w:ascii="Arial" w:hAnsi="Arial"/>
                <w:sz w:val="20"/>
                <w:szCs w:val="20"/>
              </w:rPr>
              <w:t>All faculty members are expected to promote student learning and help students achieve academic outcomes.</w:t>
            </w:r>
          </w:p>
          <w:p w:rsidR="00CD11C0" w:rsidRDefault="00CD11C0" w:rsidP="00CD11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11C0" w:rsidRDefault="00CD11C0" w:rsidP="00CD11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While our emphasis is undergraduate education, we offer a wide range of graduate programs and research that extend to such national concerns as forest health and bioterrorism. Our institution has carefully integrated on-campus education with distance learning, forming seamless avenues for students to earn degrees.</w:t>
            </w:r>
          </w:p>
          <w:p w:rsidR="00CD11C0" w:rsidRDefault="00CD11C0" w:rsidP="00CD11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Flagst</w:t>
            </w:r>
            <w:r w:rsidR="0086002F">
              <w:rPr>
                <w:rFonts w:ascii="Arial" w:hAnsi="Arial" w:cs="Arial"/>
                <w:color w:val="000000"/>
                <w:sz w:val="20"/>
                <w:szCs w:val="20"/>
              </w:rPr>
              <w:t>aff has a population of about 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,000, rich in cultural diversity. Located at the base of the majestic San Francisco Peaks, Flagstaff is 140 miles north of Phoenix at the intersection of Interstate 17 and Interstate 40.</w:t>
            </w:r>
          </w:p>
          <w:p w:rsidR="00CD11C0" w:rsidRDefault="00CD11C0" w:rsidP="00CD11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 its elevation of 7,000 feet and four-season climate, Flagstaff is ideal for year-round outdoor activities. Nearby attractions include the Grand Canyon, Lowell Observatory, Oak Creek Canyon, Sedona, Monument Valley, Sunset Crater, Meteor Crater, and Arizona Snowbowl.</w:t>
            </w:r>
          </w:p>
          <w:p w:rsidR="00CD11C0" w:rsidRDefault="00CD11C0" w:rsidP="00CD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B88" w:rsidRDefault="00CD11C0" w:rsidP="00CD1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Northern Arizona University requires satisfactory results for the following: a criminal background investigation, an employment history verification and a degree verification (in some cases) prior to employment. You may also be required to complete a fingerprint background check. </w:t>
            </w:r>
            <w:r>
              <w:rPr>
                <w:rStyle w:val="pslongeditbox1"/>
                <w:sz w:val="18"/>
                <w:szCs w:val="18"/>
              </w:rPr>
              <w:t>Additionally, NAU is required to participate in the federal E-Verify program that assists employers with verifying new employees' right to work in the United States.</w:t>
            </w:r>
          </w:p>
        </w:tc>
      </w:tr>
      <w:tr w:rsidR="00AC4B88">
        <w:trPr>
          <w:trHeight w:val="46"/>
        </w:trPr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Salary</w:t>
            </w:r>
          </w:p>
        </w:tc>
      </w:tr>
      <w:tr w:rsidR="00AC4B88">
        <w:trPr>
          <w:trHeight w:val="683"/>
        </w:trPr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Commensurate with experience and qualifications</w:t>
            </w:r>
          </w:p>
        </w:tc>
      </w:tr>
      <w:tr w:rsidR="00AC4B88">
        <w:trPr>
          <w:trHeight w:val="46"/>
        </w:trPr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AC4B88">
        <w:trPr>
          <w:trHeight w:val="530"/>
        </w:trPr>
        <w:tc>
          <w:tcPr>
            <w:tcW w:w="10800" w:type="dxa"/>
          </w:tcPr>
          <w:p w:rsidR="00AC4B88" w:rsidRDefault="00AC4B88" w:rsidP="00381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position will be open until filled or closed.  We will begin reviewing applications </w:t>
            </w:r>
            <w:r w:rsidR="003818E7">
              <w:rPr>
                <w:rFonts w:ascii="Arial" w:hAnsi="Arial" w:cs="Arial"/>
                <w:sz w:val="20"/>
                <w:szCs w:val="20"/>
              </w:rPr>
              <w:t>May 1, 2016</w:t>
            </w:r>
          </w:p>
        </w:tc>
      </w:tr>
      <w:tr w:rsidR="00AC4B88">
        <w:trPr>
          <w:trHeight w:val="30"/>
        </w:trPr>
        <w:tc>
          <w:tcPr>
            <w:tcW w:w="10800" w:type="dxa"/>
          </w:tcPr>
          <w:p w:rsidR="00AC4B88" w:rsidRDefault="00AC4B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Procedure</w:t>
            </w:r>
          </w:p>
        </w:tc>
      </w:tr>
      <w:tr w:rsidR="00AC4B88">
        <w:trPr>
          <w:trHeight w:val="1025"/>
        </w:trPr>
        <w:tc>
          <w:tcPr>
            <w:tcW w:w="10800" w:type="dxa"/>
          </w:tcPr>
          <w:p w:rsidR="003818E7" w:rsidRPr="00725D68" w:rsidRDefault="003818E7" w:rsidP="003818E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apply for this position go to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http://www.nau.edu/careers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(Position </w:t>
            </w:r>
            <w:r w:rsidR="00F570E8">
              <w:rPr>
                <w:rFonts w:ascii="Arial" w:hAnsi="Arial" w:cs="Arial"/>
                <w:sz w:val="20"/>
                <w:szCs w:val="20"/>
              </w:rPr>
              <w:t># 602503).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D68">
              <w:rPr>
                <w:rFonts w:ascii="Arial" w:hAnsi="Arial" w:cs="Arial"/>
                <w:sz w:val="20"/>
                <w:szCs w:val="20"/>
              </w:rPr>
              <w:t xml:space="preserve"> Your application must be submitted on line to be reviewed and should include a single attachment that contains (1) a cover letter addressing the job description and preferred qualifications, (2) a current vita, (3)  recent teaching evaluations (if applicable) and  (4) contact information of at least five professional references including mailing and email addresses and phone numbers.  </w:t>
            </w:r>
            <w:r w:rsidRPr="00725D68">
              <w:rPr>
                <w:rFonts w:ascii="Arial" w:hAnsi="Arial" w:cs="Arial"/>
                <w:sz w:val="20"/>
                <w:szCs w:val="20"/>
              </w:rPr>
              <w:br/>
            </w:r>
            <w:r w:rsidRPr="00725D68">
              <w:rPr>
                <w:rFonts w:ascii="Arial" w:hAnsi="Arial" w:cs="Arial"/>
                <w:sz w:val="20"/>
                <w:szCs w:val="20"/>
              </w:rPr>
              <w:br/>
              <w:t xml:space="preserve">Save all items, in the order stated, and attach them in a single PDF or Word document. </w:t>
            </w:r>
            <w:r w:rsidRPr="00725D68"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  <w:r w:rsidRPr="00725D68">
              <w:rPr>
                <w:rFonts w:ascii="Arial" w:hAnsi="Arial" w:cs="Arial"/>
                <w:sz w:val="20"/>
                <w:szCs w:val="20"/>
              </w:rPr>
              <w:br/>
              <w:t>If you are an individual with a disability and need reasonable accommodation to participate in the hiring process please contact the Affirmative Action Office at 928-523-3312/TDD - 928-523-1006 or PO Box 4083, Flagstaff AZ 86011</w:t>
            </w:r>
            <w:r w:rsidRPr="00725D68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3818E7" w:rsidRPr="00725D68" w:rsidRDefault="003818E7" w:rsidP="00381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8E7" w:rsidRPr="00725D68" w:rsidRDefault="003818E7" w:rsidP="003818E7">
            <w:pPr>
              <w:rPr>
                <w:rFonts w:ascii="Arial" w:hAnsi="Arial" w:cs="Arial"/>
                <w:sz w:val="20"/>
                <w:szCs w:val="20"/>
              </w:rPr>
            </w:pPr>
            <w:r w:rsidRPr="00725D68">
              <w:rPr>
                <w:rFonts w:ascii="Arial" w:hAnsi="Arial" w:cs="Arial"/>
                <w:sz w:val="20"/>
                <w:szCs w:val="20"/>
              </w:rPr>
              <w:t>Any questions about the position should be addressed to Kay Pinto</w:t>
            </w:r>
            <w:r>
              <w:rPr>
                <w:rFonts w:ascii="Arial" w:hAnsi="Arial" w:cs="Arial"/>
                <w:sz w:val="20"/>
                <w:szCs w:val="20"/>
              </w:rPr>
              <w:t xml:space="preserve">, Building Manager of The W. A. Franke College of Business, </w:t>
            </w:r>
            <w:r w:rsidRPr="00725D68">
              <w:rPr>
                <w:rFonts w:ascii="Arial" w:hAnsi="Arial" w:cs="Arial"/>
                <w:sz w:val="20"/>
                <w:szCs w:val="20"/>
              </w:rPr>
              <w:t xml:space="preserve">928-523-7343, </w:t>
            </w:r>
            <w:hyperlink r:id="rId8" w:history="1">
              <w:r w:rsidRPr="00725D68">
                <w:rPr>
                  <w:rStyle w:val="Hyperlink"/>
                  <w:rFonts w:ascii="Arial" w:hAnsi="Arial" w:cs="Arial"/>
                  <w:sz w:val="20"/>
                  <w:szCs w:val="20"/>
                </w:rPr>
                <w:t>kay.pinto@nau.edu</w:t>
              </w:r>
            </w:hyperlink>
            <w:r w:rsidRPr="00725D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4B88" w:rsidRDefault="00A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4B88" w:rsidRDefault="00AC4B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Arizona University is a committed Equal Opportunity/Affirmative Action Institution. Women, minorities, veterans and individuals with disabilities are encouraged to apply. NAU is responsive to the needs of dual career couples.  Form A-1 Revised 2/05</w:t>
      </w:r>
    </w:p>
    <w:sectPr w:rsidR="00AC4B88">
      <w:pgSz w:w="12240" w:h="15840"/>
      <w:pgMar w:top="144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Bold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33A"/>
    <w:multiLevelType w:val="hybridMultilevel"/>
    <w:tmpl w:val="3F6ED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F53FA"/>
    <w:multiLevelType w:val="hybridMultilevel"/>
    <w:tmpl w:val="E5FA4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82A5F"/>
    <w:multiLevelType w:val="hybridMultilevel"/>
    <w:tmpl w:val="54CC9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A2114"/>
    <w:multiLevelType w:val="hybridMultilevel"/>
    <w:tmpl w:val="46024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06405"/>
    <w:multiLevelType w:val="hybridMultilevel"/>
    <w:tmpl w:val="B73E3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D466C"/>
    <w:multiLevelType w:val="hybridMultilevel"/>
    <w:tmpl w:val="CF96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F45259"/>
    <w:multiLevelType w:val="hybridMultilevel"/>
    <w:tmpl w:val="BBAEA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9A"/>
    <w:rsid w:val="00182DB7"/>
    <w:rsid w:val="0018530D"/>
    <w:rsid w:val="00224D74"/>
    <w:rsid w:val="00360BD7"/>
    <w:rsid w:val="003818E7"/>
    <w:rsid w:val="004248A2"/>
    <w:rsid w:val="004E529A"/>
    <w:rsid w:val="00516C82"/>
    <w:rsid w:val="00523130"/>
    <w:rsid w:val="00541D00"/>
    <w:rsid w:val="005450EF"/>
    <w:rsid w:val="005B6B9A"/>
    <w:rsid w:val="00612CE6"/>
    <w:rsid w:val="006F159F"/>
    <w:rsid w:val="0075612B"/>
    <w:rsid w:val="00823F54"/>
    <w:rsid w:val="008256E9"/>
    <w:rsid w:val="0086002F"/>
    <w:rsid w:val="008E46D9"/>
    <w:rsid w:val="009E64E2"/>
    <w:rsid w:val="00A22FDC"/>
    <w:rsid w:val="00A6615D"/>
    <w:rsid w:val="00A92647"/>
    <w:rsid w:val="00AC4B88"/>
    <w:rsid w:val="00B20FD4"/>
    <w:rsid w:val="00B95962"/>
    <w:rsid w:val="00CD11C0"/>
    <w:rsid w:val="00D07AB5"/>
    <w:rsid w:val="00DE5F88"/>
    <w:rsid w:val="00E07ECC"/>
    <w:rsid w:val="00F570E8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4403-A7A1-4718-A476-AED245B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slongeditbox1">
    <w:name w:val="pslongeditbox1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FollowedHyperlink">
    <w:name w:val="FollowedHyperlink"/>
    <w:rsid w:val="00823F5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18E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pinto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.edu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sb.edu/accreditation/business/standards/2013/academic-and-professional-engagement/standard15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6439</CharactersWithSpaces>
  <SharedDoc>false</SharedDoc>
  <HLinks>
    <vt:vector size="24" baseType="variant">
      <vt:variant>
        <vt:i4>2097275</vt:i4>
      </vt:variant>
      <vt:variant>
        <vt:i4>9</vt:i4>
      </vt:variant>
      <vt:variant>
        <vt:i4>0</vt:i4>
      </vt:variant>
      <vt:variant>
        <vt:i4>5</vt:i4>
      </vt:variant>
      <vt:variant>
        <vt:lpwstr>http://www.nau.edu/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http://www.franke.nau.edu/</vt:lpwstr>
      </vt:variant>
      <vt:variant>
        <vt:lpwstr/>
      </vt:variant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mailto:kay.pinto@nau.edu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http://www.aacsb.edu/accreditation/business/standards/2013/academic-and-professional-engagement/standard15.asp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Fleece</dc:creator>
  <cp:keywords/>
  <cp:lastModifiedBy>Pinto, Kay</cp:lastModifiedBy>
  <cp:revision>7</cp:revision>
  <cp:lastPrinted>2013-08-14T22:36:00Z</cp:lastPrinted>
  <dcterms:created xsi:type="dcterms:W3CDTF">2016-03-14T21:03:00Z</dcterms:created>
  <dcterms:modified xsi:type="dcterms:W3CDTF">2016-03-30T20:53:00Z</dcterms:modified>
</cp:coreProperties>
</file>