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E1" w:rsidRDefault="00B44853">
      <w:r>
        <w:rPr>
          <w:noProof/>
        </w:rPr>
        <w:drawing>
          <wp:inline distT="0" distB="0" distL="0" distR="0">
            <wp:extent cx="5943600" cy="741795"/>
            <wp:effectExtent l="0" t="0" r="0" b="1270"/>
            <wp:docPr id="1" name="Picture 1" descr="https://www.bentley.edu/files/Brand/Bentley_Master_horiz_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ntley.edu/files/Brand/Bentley_Master_horiz_1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1795"/>
                    </a:xfrm>
                    <a:prstGeom prst="rect">
                      <a:avLst/>
                    </a:prstGeom>
                    <a:noFill/>
                    <a:ln>
                      <a:noFill/>
                    </a:ln>
                  </pic:spPr>
                </pic:pic>
              </a:graphicData>
            </a:graphic>
          </wp:inline>
        </w:drawing>
      </w:r>
    </w:p>
    <w:p w:rsidR="00476824" w:rsidRDefault="00476824" w:rsidP="00476824">
      <w:pPr>
        <w:jc w:val="center"/>
        <w:rPr>
          <w:b/>
          <w:sz w:val="28"/>
        </w:rPr>
      </w:pPr>
      <w:r>
        <w:rPr>
          <w:b/>
          <w:bCs/>
          <w:sz w:val="28"/>
        </w:rPr>
        <w:t>2019 New England Association for Information Systems Annual Conference</w:t>
      </w:r>
    </w:p>
    <w:p w:rsidR="00476824" w:rsidRDefault="00476824" w:rsidP="00476824">
      <w:pPr>
        <w:jc w:val="center"/>
        <w:rPr>
          <w:b/>
          <w:i/>
          <w:sz w:val="24"/>
        </w:rPr>
      </w:pPr>
      <w:r w:rsidRPr="001A42CE">
        <w:rPr>
          <w:b/>
          <w:i/>
          <w:sz w:val="24"/>
        </w:rPr>
        <w:t xml:space="preserve">May </w:t>
      </w:r>
      <w:r>
        <w:rPr>
          <w:b/>
          <w:i/>
          <w:sz w:val="24"/>
        </w:rPr>
        <w:t>31</w:t>
      </w:r>
      <w:r w:rsidRPr="00E038EE">
        <w:rPr>
          <w:b/>
          <w:i/>
          <w:sz w:val="24"/>
          <w:vertAlign w:val="superscript"/>
        </w:rPr>
        <w:t>s</w:t>
      </w:r>
      <w:r w:rsidRPr="001A42CE">
        <w:rPr>
          <w:b/>
          <w:i/>
          <w:sz w:val="24"/>
          <w:vertAlign w:val="superscript"/>
        </w:rPr>
        <w:t>t</w:t>
      </w:r>
      <w:r w:rsidRPr="001A42CE">
        <w:rPr>
          <w:b/>
          <w:i/>
          <w:sz w:val="24"/>
        </w:rPr>
        <w:t xml:space="preserve">, </w:t>
      </w:r>
      <w:r>
        <w:rPr>
          <w:b/>
          <w:i/>
          <w:sz w:val="24"/>
        </w:rPr>
        <w:t>9:30</w:t>
      </w:r>
      <w:r w:rsidRPr="001A42CE">
        <w:rPr>
          <w:b/>
          <w:i/>
          <w:sz w:val="24"/>
        </w:rPr>
        <w:t>am –</w:t>
      </w:r>
      <w:r>
        <w:rPr>
          <w:b/>
          <w:i/>
          <w:sz w:val="24"/>
        </w:rPr>
        <w:t xml:space="preserve"> 3:00</w:t>
      </w:r>
      <w:r w:rsidRPr="001A42CE">
        <w:rPr>
          <w:b/>
          <w:i/>
          <w:sz w:val="24"/>
        </w:rPr>
        <w:t>pm</w:t>
      </w:r>
    </w:p>
    <w:p w:rsidR="00476824" w:rsidRPr="00476824" w:rsidRDefault="00476824" w:rsidP="00476824">
      <w:pPr>
        <w:jc w:val="center"/>
        <w:rPr>
          <w:rFonts w:ascii="Calibri" w:hAnsi="Calibri" w:cs="Calibri"/>
        </w:rPr>
      </w:pPr>
      <w:r>
        <w:rPr>
          <w:rFonts w:ascii="Arial" w:eastAsiaTheme="minorEastAsia" w:hAnsi="Arial" w:cs="Arial"/>
          <w:noProof/>
          <w:color w:val="000000"/>
          <w:sz w:val="20"/>
          <w:szCs w:val="20"/>
          <w:shd w:val="clear" w:color="auto" w:fill="FFFFFF"/>
        </w:rPr>
        <w:t xml:space="preserve">Registration: </w:t>
      </w:r>
      <w:r>
        <w:rPr>
          <w:rStyle w:val="apple-converted-space"/>
          <w:rFonts w:cs="Calibri"/>
          <w:color w:val="1F497D"/>
        </w:rPr>
        <w:t> </w:t>
      </w:r>
      <w:hyperlink r:id="rId6" w:tgtFrame="_blank" w:history="1">
        <w:r w:rsidRPr="00476824">
          <w:rPr>
            <w:rStyle w:val="Hyperlink"/>
            <w:rFonts w:ascii="Calibri" w:hAnsi="Calibri" w:cs="Calibri"/>
            <w:b/>
            <w:color w:val="954F72"/>
          </w:rPr>
          <w:t>2019 NEAIS Conference Registration Form</w:t>
        </w:r>
      </w:hyperlink>
      <w:r>
        <w:rPr>
          <w:rStyle w:val="Hyperlink"/>
          <w:rFonts w:ascii="Calibri" w:hAnsi="Calibri" w:cs="Calibri"/>
          <w:color w:val="954F72"/>
          <w:u w:val="none"/>
        </w:rPr>
        <w:t xml:space="preserve"> (Registration is </w:t>
      </w:r>
      <w:r w:rsidRPr="00476824">
        <w:rPr>
          <w:rStyle w:val="Hyperlink"/>
          <w:rFonts w:ascii="Calibri" w:hAnsi="Calibri" w:cs="Calibri"/>
          <w:b/>
          <w:color w:val="954F72"/>
          <w:u w:val="none"/>
        </w:rPr>
        <w:t>FREE</w:t>
      </w:r>
      <w:r>
        <w:rPr>
          <w:rStyle w:val="Hyperlink"/>
          <w:rFonts w:ascii="Calibri" w:hAnsi="Calibri" w:cs="Calibri"/>
          <w:color w:val="954F72"/>
          <w:u w:val="none"/>
        </w:rPr>
        <w:t>)</w:t>
      </w:r>
    </w:p>
    <w:tbl>
      <w:tblPr>
        <w:tblStyle w:val="TableGrid"/>
        <w:tblW w:w="9355" w:type="dxa"/>
        <w:tblLook w:val="04A0" w:firstRow="1" w:lastRow="0" w:firstColumn="1" w:lastColumn="0" w:noHBand="0" w:noVBand="1"/>
      </w:tblPr>
      <w:tblGrid>
        <w:gridCol w:w="2515"/>
        <w:gridCol w:w="2970"/>
        <w:gridCol w:w="3870"/>
      </w:tblGrid>
      <w:tr w:rsidR="00476824" w:rsidRPr="00403D4E" w:rsidTr="00725D86">
        <w:tc>
          <w:tcPr>
            <w:tcW w:w="2515" w:type="dxa"/>
          </w:tcPr>
          <w:p w:rsidR="00476824" w:rsidRPr="00403D4E" w:rsidRDefault="00476824" w:rsidP="00725D86">
            <w:pPr>
              <w:ind w:firstLine="0"/>
              <w:rPr>
                <w:b/>
                <w:sz w:val="20"/>
              </w:rPr>
            </w:pPr>
            <w:r w:rsidRPr="00403D4E">
              <w:rPr>
                <w:b/>
                <w:sz w:val="20"/>
              </w:rPr>
              <w:t>Time</w:t>
            </w:r>
          </w:p>
        </w:tc>
        <w:tc>
          <w:tcPr>
            <w:tcW w:w="2970" w:type="dxa"/>
          </w:tcPr>
          <w:p w:rsidR="00476824" w:rsidRPr="00403D4E" w:rsidRDefault="00476824" w:rsidP="00725D86">
            <w:pPr>
              <w:ind w:firstLine="0"/>
              <w:rPr>
                <w:b/>
                <w:sz w:val="20"/>
              </w:rPr>
            </w:pPr>
            <w:r w:rsidRPr="00403D4E">
              <w:rPr>
                <w:b/>
                <w:sz w:val="20"/>
              </w:rPr>
              <w:t>Activity</w:t>
            </w:r>
          </w:p>
        </w:tc>
        <w:tc>
          <w:tcPr>
            <w:tcW w:w="3870" w:type="dxa"/>
          </w:tcPr>
          <w:p w:rsidR="00476824" w:rsidRPr="00403D4E" w:rsidRDefault="00476824" w:rsidP="00725D86">
            <w:pPr>
              <w:ind w:firstLine="0"/>
              <w:rPr>
                <w:b/>
                <w:sz w:val="20"/>
              </w:rPr>
            </w:pPr>
            <w:r w:rsidRPr="00403D4E">
              <w:rPr>
                <w:b/>
                <w:sz w:val="20"/>
              </w:rPr>
              <w:t>Location</w:t>
            </w:r>
          </w:p>
        </w:tc>
      </w:tr>
      <w:tr w:rsidR="00476824" w:rsidRPr="00403D4E" w:rsidTr="00725D86">
        <w:tc>
          <w:tcPr>
            <w:tcW w:w="2515" w:type="dxa"/>
          </w:tcPr>
          <w:p w:rsidR="00476824" w:rsidRPr="00403D4E" w:rsidRDefault="00476824" w:rsidP="00725D86">
            <w:pPr>
              <w:ind w:firstLine="0"/>
              <w:rPr>
                <w:sz w:val="20"/>
              </w:rPr>
            </w:pPr>
            <w:r w:rsidRPr="00403D4E">
              <w:rPr>
                <w:sz w:val="20"/>
              </w:rPr>
              <w:t xml:space="preserve">9:30am – 10am </w:t>
            </w:r>
          </w:p>
        </w:tc>
        <w:tc>
          <w:tcPr>
            <w:tcW w:w="2970" w:type="dxa"/>
          </w:tcPr>
          <w:p w:rsidR="00476824" w:rsidRPr="00403D4E" w:rsidRDefault="00476824" w:rsidP="00725D86">
            <w:pPr>
              <w:ind w:firstLine="0"/>
              <w:rPr>
                <w:sz w:val="20"/>
              </w:rPr>
            </w:pPr>
            <w:r>
              <w:rPr>
                <w:sz w:val="20"/>
              </w:rPr>
              <w:t xml:space="preserve">Welcome  </w:t>
            </w:r>
          </w:p>
        </w:tc>
        <w:tc>
          <w:tcPr>
            <w:tcW w:w="3870" w:type="dxa"/>
          </w:tcPr>
          <w:p w:rsidR="00476824" w:rsidRPr="00403D4E" w:rsidRDefault="00476824" w:rsidP="00725D86">
            <w:pPr>
              <w:ind w:left="-18" w:right="-70" w:firstLine="0"/>
              <w:rPr>
                <w:sz w:val="20"/>
              </w:rPr>
            </w:pPr>
            <w:r>
              <w:rPr>
                <w:sz w:val="20"/>
              </w:rPr>
              <w:t>Smith 305</w:t>
            </w:r>
          </w:p>
        </w:tc>
      </w:tr>
      <w:tr w:rsidR="00476824" w:rsidRPr="00403D4E" w:rsidTr="00725D86">
        <w:tc>
          <w:tcPr>
            <w:tcW w:w="2515" w:type="dxa"/>
          </w:tcPr>
          <w:p w:rsidR="00476824" w:rsidRPr="00403D4E" w:rsidRDefault="00476824" w:rsidP="00725D86">
            <w:pPr>
              <w:ind w:firstLine="0"/>
              <w:rPr>
                <w:sz w:val="20"/>
              </w:rPr>
            </w:pPr>
            <w:r w:rsidRPr="00403D4E">
              <w:rPr>
                <w:sz w:val="20"/>
              </w:rPr>
              <w:t xml:space="preserve">10am – 10:55am </w:t>
            </w:r>
          </w:p>
        </w:tc>
        <w:tc>
          <w:tcPr>
            <w:tcW w:w="2970" w:type="dxa"/>
          </w:tcPr>
          <w:p w:rsidR="00476824" w:rsidRPr="00403D4E" w:rsidRDefault="00476824" w:rsidP="00725D86">
            <w:pPr>
              <w:ind w:firstLine="0"/>
              <w:rPr>
                <w:sz w:val="20"/>
              </w:rPr>
            </w:pPr>
            <w:r w:rsidRPr="00403D4E">
              <w:rPr>
                <w:sz w:val="20"/>
              </w:rPr>
              <w:t>Panel Discussion</w:t>
            </w:r>
          </w:p>
        </w:tc>
        <w:tc>
          <w:tcPr>
            <w:tcW w:w="3870" w:type="dxa"/>
          </w:tcPr>
          <w:p w:rsidR="00476824" w:rsidRPr="00403D4E" w:rsidRDefault="00476824" w:rsidP="00725D86">
            <w:pPr>
              <w:ind w:firstLine="0"/>
              <w:rPr>
                <w:sz w:val="20"/>
              </w:rPr>
            </w:pPr>
            <w:r>
              <w:rPr>
                <w:sz w:val="20"/>
              </w:rPr>
              <w:t>Smith 305</w:t>
            </w:r>
          </w:p>
        </w:tc>
      </w:tr>
      <w:tr w:rsidR="00476824" w:rsidRPr="00403D4E" w:rsidTr="00725D86">
        <w:tc>
          <w:tcPr>
            <w:tcW w:w="2515" w:type="dxa"/>
          </w:tcPr>
          <w:p w:rsidR="00476824" w:rsidRPr="00403D4E" w:rsidRDefault="00476824" w:rsidP="00725D86">
            <w:pPr>
              <w:ind w:firstLine="0"/>
              <w:rPr>
                <w:sz w:val="20"/>
              </w:rPr>
            </w:pPr>
            <w:r w:rsidRPr="00403D4E">
              <w:rPr>
                <w:sz w:val="20"/>
              </w:rPr>
              <w:t>11am – 12:30pm</w:t>
            </w:r>
          </w:p>
        </w:tc>
        <w:tc>
          <w:tcPr>
            <w:tcW w:w="2970" w:type="dxa"/>
          </w:tcPr>
          <w:p w:rsidR="00476824" w:rsidRPr="00403D4E" w:rsidRDefault="00476824" w:rsidP="00725D86">
            <w:pPr>
              <w:ind w:firstLine="0"/>
              <w:rPr>
                <w:sz w:val="20"/>
              </w:rPr>
            </w:pPr>
            <w:r w:rsidRPr="00403D4E">
              <w:rPr>
                <w:sz w:val="20"/>
              </w:rPr>
              <w:t>Paper Presentations</w:t>
            </w:r>
          </w:p>
        </w:tc>
        <w:tc>
          <w:tcPr>
            <w:tcW w:w="3870" w:type="dxa"/>
          </w:tcPr>
          <w:p w:rsidR="00476824" w:rsidRPr="00403D4E" w:rsidRDefault="00476824" w:rsidP="00725D86">
            <w:pPr>
              <w:ind w:firstLine="0"/>
              <w:rPr>
                <w:sz w:val="20"/>
              </w:rPr>
            </w:pPr>
            <w:r>
              <w:rPr>
                <w:sz w:val="20"/>
              </w:rPr>
              <w:t>Smith 304 (Track 1) &amp; Smith 305 (Track 2)</w:t>
            </w:r>
          </w:p>
        </w:tc>
      </w:tr>
      <w:tr w:rsidR="00476824" w:rsidRPr="00403D4E" w:rsidTr="00725D86">
        <w:tc>
          <w:tcPr>
            <w:tcW w:w="2515" w:type="dxa"/>
          </w:tcPr>
          <w:p w:rsidR="00476824" w:rsidRPr="00403D4E" w:rsidRDefault="00476824" w:rsidP="00725D86">
            <w:pPr>
              <w:ind w:firstLine="0"/>
              <w:rPr>
                <w:sz w:val="20"/>
              </w:rPr>
            </w:pPr>
            <w:r>
              <w:rPr>
                <w:sz w:val="20"/>
              </w:rPr>
              <w:t>12:35pm – 2:15</w:t>
            </w:r>
            <w:r w:rsidRPr="00403D4E">
              <w:rPr>
                <w:sz w:val="20"/>
              </w:rPr>
              <w:t xml:space="preserve">pm </w:t>
            </w:r>
          </w:p>
        </w:tc>
        <w:tc>
          <w:tcPr>
            <w:tcW w:w="2970" w:type="dxa"/>
          </w:tcPr>
          <w:p w:rsidR="00476824" w:rsidRPr="00403D4E" w:rsidRDefault="00476824" w:rsidP="00725D86">
            <w:pPr>
              <w:ind w:firstLine="0"/>
              <w:rPr>
                <w:sz w:val="20"/>
              </w:rPr>
            </w:pPr>
            <w:r>
              <w:rPr>
                <w:sz w:val="20"/>
              </w:rPr>
              <w:t>Lunch &amp; Keynote</w:t>
            </w:r>
          </w:p>
        </w:tc>
        <w:tc>
          <w:tcPr>
            <w:tcW w:w="3870" w:type="dxa"/>
          </w:tcPr>
          <w:p w:rsidR="00476824" w:rsidRPr="00403D4E" w:rsidRDefault="00476824" w:rsidP="00725D86">
            <w:pPr>
              <w:ind w:firstLine="0"/>
              <w:rPr>
                <w:sz w:val="20"/>
              </w:rPr>
            </w:pPr>
            <w:r>
              <w:rPr>
                <w:sz w:val="20"/>
              </w:rPr>
              <w:t>Smith 305</w:t>
            </w:r>
          </w:p>
        </w:tc>
      </w:tr>
      <w:tr w:rsidR="00476824" w:rsidRPr="00403D4E" w:rsidTr="00725D86">
        <w:tc>
          <w:tcPr>
            <w:tcW w:w="2515" w:type="dxa"/>
          </w:tcPr>
          <w:p w:rsidR="00476824" w:rsidRPr="00403D4E" w:rsidRDefault="00476824" w:rsidP="00725D86">
            <w:pPr>
              <w:ind w:firstLine="0"/>
              <w:rPr>
                <w:sz w:val="20"/>
              </w:rPr>
            </w:pPr>
            <w:r>
              <w:rPr>
                <w:sz w:val="20"/>
              </w:rPr>
              <w:t>2:15</w:t>
            </w:r>
            <w:r w:rsidRPr="00403D4E">
              <w:rPr>
                <w:sz w:val="20"/>
              </w:rPr>
              <w:t>pm – 3</w:t>
            </w:r>
            <w:r>
              <w:rPr>
                <w:sz w:val="20"/>
              </w:rPr>
              <w:t>:00</w:t>
            </w:r>
            <w:r w:rsidRPr="00403D4E">
              <w:rPr>
                <w:sz w:val="20"/>
              </w:rPr>
              <w:t xml:space="preserve">pm </w:t>
            </w:r>
          </w:p>
        </w:tc>
        <w:tc>
          <w:tcPr>
            <w:tcW w:w="2970" w:type="dxa"/>
          </w:tcPr>
          <w:p w:rsidR="00476824" w:rsidRPr="00403D4E" w:rsidRDefault="00476824" w:rsidP="00725D86">
            <w:pPr>
              <w:ind w:firstLine="0"/>
              <w:rPr>
                <w:sz w:val="20"/>
              </w:rPr>
            </w:pPr>
            <w:r>
              <w:rPr>
                <w:sz w:val="20"/>
              </w:rPr>
              <w:t>2020 NEAIS Conference Planning</w:t>
            </w:r>
          </w:p>
        </w:tc>
        <w:tc>
          <w:tcPr>
            <w:tcW w:w="3870" w:type="dxa"/>
          </w:tcPr>
          <w:p w:rsidR="00476824" w:rsidRPr="00403D4E" w:rsidRDefault="00476824" w:rsidP="00725D86">
            <w:pPr>
              <w:ind w:firstLine="0"/>
              <w:rPr>
                <w:sz w:val="20"/>
              </w:rPr>
            </w:pPr>
            <w:r>
              <w:rPr>
                <w:sz w:val="20"/>
              </w:rPr>
              <w:t>Smith 305</w:t>
            </w:r>
          </w:p>
        </w:tc>
      </w:tr>
    </w:tbl>
    <w:p w:rsidR="00E20D13" w:rsidRDefault="00E20D13" w:rsidP="00B44853"/>
    <w:p w:rsidR="00476824" w:rsidRDefault="00476824" w:rsidP="00476824">
      <w:pPr>
        <w:rPr>
          <w:sz w:val="24"/>
        </w:rPr>
      </w:pPr>
      <w:r w:rsidRPr="00AE7618">
        <w:rPr>
          <w:b/>
          <w:sz w:val="28"/>
        </w:rPr>
        <w:t>Panel Discussion</w:t>
      </w:r>
      <w:r>
        <w:rPr>
          <w:b/>
          <w:sz w:val="28"/>
        </w:rPr>
        <w:t xml:space="preserve"> </w:t>
      </w:r>
      <w:r>
        <w:rPr>
          <w:sz w:val="24"/>
        </w:rPr>
        <w:t>(10</w:t>
      </w:r>
      <w:r w:rsidRPr="00D1271E">
        <w:rPr>
          <w:sz w:val="24"/>
        </w:rPr>
        <w:t xml:space="preserve"> –</w:t>
      </w:r>
      <w:r>
        <w:rPr>
          <w:sz w:val="24"/>
        </w:rPr>
        <w:t xml:space="preserve"> 10:55 AM</w:t>
      </w:r>
      <w:r w:rsidRPr="00D1271E">
        <w:rPr>
          <w:sz w:val="24"/>
        </w:rPr>
        <w:t>)</w:t>
      </w:r>
    </w:p>
    <w:p w:rsidR="00476824" w:rsidRPr="00296452" w:rsidRDefault="00476824" w:rsidP="00476824">
      <w:pPr>
        <w:pStyle w:val="PlainText"/>
        <w:rPr>
          <w:sz w:val="20"/>
        </w:rPr>
      </w:pPr>
      <w:r w:rsidRPr="00296452">
        <w:rPr>
          <w:b/>
          <w:sz w:val="20"/>
        </w:rPr>
        <w:t xml:space="preserve">Topic:  </w:t>
      </w:r>
      <w:r>
        <w:rPr>
          <w:i/>
          <w:sz w:val="20"/>
        </w:rPr>
        <w:t>Working with Industry Partners.</w:t>
      </w:r>
      <w:r w:rsidRPr="00296452">
        <w:rPr>
          <w:sz w:val="20"/>
        </w:rPr>
        <w:t xml:space="preserve"> The panel </w:t>
      </w:r>
      <w:r>
        <w:rPr>
          <w:sz w:val="20"/>
        </w:rPr>
        <w:t>session will focus on exploring why and how we collaborate with industry and government practitioners. Faculty members often collaborate with or bring in practitioners from industry or government for various valuable reasons in the context of research, teaching, and service. How does each school approach college-wide engagement for collaborating with industry practitioners? The panel will share challenges, opportunities, and new trends in why and how universities engage with industry.</w:t>
      </w:r>
    </w:p>
    <w:p w:rsidR="00476824" w:rsidRPr="00296452" w:rsidRDefault="00476824" w:rsidP="00476824">
      <w:pPr>
        <w:pStyle w:val="PlainText"/>
        <w:rPr>
          <w:sz w:val="20"/>
        </w:rPr>
      </w:pPr>
      <w:r w:rsidRPr="00296452">
        <w:rPr>
          <w:b/>
          <w:sz w:val="20"/>
        </w:rPr>
        <w:t>Panelists:</w:t>
      </w:r>
      <w:r>
        <w:rPr>
          <w:b/>
          <w:sz w:val="20"/>
        </w:rPr>
        <w:t xml:space="preserve"> </w:t>
      </w:r>
      <w:r>
        <w:rPr>
          <w:sz w:val="20"/>
        </w:rPr>
        <w:t>Sandeep Purao, Bentley University; Y</w:t>
      </w:r>
      <w:r w:rsidRPr="00296452">
        <w:rPr>
          <w:sz w:val="20"/>
        </w:rPr>
        <w:t>ang Lee, Northeastern;</w:t>
      </w:r>
      <w:r>
        <w:rPr>
          <w:sz w:val="20"/>
        </w:rPr>
        <w:t xml:space="preserve"> Luvai Motiwalla</w:t>
      </w:r>
      <w:r w:rsidRPr="00296452">
        <w:rPr>
          <w:sz w:val="20"/>
        </w:rPr>
        <w:t xml:space="preserve">, U Mass Lowell; Nitin </w:t>
      </w:r>
      <w:proofErr w:type="spellStart"/>
      <w:r w:rsidRPr="00296452">
        <w:rPr>
          <w:sz w:val="20"/>
        </w:rPr>
        <w:t>Joglekar</w:t>
      </w:r>
      <w:proofErr w:type="spellEnd"/>
      <w:r w:rsidRPr="00296452">
        <w:rPr>
          <w:sz w:val="20"/>
        </w:rPr>
        <w:t xml:space="preserve">, Boston University; Diane Strong, WPI; and </w:t>
      </w:r>
      <w:proofErr w:type="spellStart"/>
      <w:r w:rsidRPr="00A16659">
        <w:rPr>
          <w:sz w:val="20"/>
        </w:rPr>
        <w:t>Ganesan</w:t>
      </w:r>
      <w:proofErr w:type="spellEnd"/>
      <w:r w:rsidRPr="00A16659">
        <w:rPr>
          <w:sz w:val="20"/>
        </w:rPr>
        <w:t> </w:t>
      </w:r>
      <w:r w:rsidRPr="00296452">
        <w:rPr>
          <w:sz w:val="20"/>
        </w:rPr>
        <w:t>Shankar</w:t>
      </w:r>
      <w:r>
        <w:rPr>
          <w:sz w:val="20"/>
        </w:rPr>
        <w:t>, Babson College</w:t>
      </w:r>
    </w:p>
    <w:p w:rsidR="00E20D13" w:rsidRDefault="00E20D13" w:rsidP="00B44853"/>
    <w:p w:rsidR="00476824" w:rsidRDefault="00476824" w:rsidP="00476824">
      <w:pPr>
        <w:rPr>
          <w:b/>
          <w:sz w:val="28"/>
        </w:rPr>
      </w:pPr>
      <w:r>
        <w:rPr>
          <w:b/>
          <w:sz w:val="28"/>
        </w:rPr>
        <w:t xml:space="preserve">Keynote </w:t>
      </w:r>
      <w:r>
        <w:rPr>
          <w:sz w:val="24"/>
        </w:rPr>
        <w:t>(1:00 – 2:15 PM</w:t>
      </w:r>
      <w:r w:rsidRPr="00D1271E">
        <w:rPr>
          <w:sz w:val="24"/>
        </w:rPr>
        <w:t>)</w:t>
      </w:r>
    </w:p>
    <w:p w:rsidR="00476824" w:rsidRPr="009C7C8A" w:rsidRDefault="00476824" w:rsidP="00476824">
      <w:pPr>
        <w:rPr>
          <w:sz w:val="20"/>
          <w:szCs w:val="20"/>
          <w:u w:val="single"/>
        </w:rPr>
      </w:pPr>
      <w:r w:rsidRPr="009C7C8A">
        <w:rPr>
          <w:sz w:val="20"/>
          <w:szCs w:val="20"/>
          <w:u w:val="single"/>
        </w:rPr>
        <w:t xml:space="preserve">Keynote Speaker </w:t>
      </w:r>
    </w:p>
    <w:p w:rsidR="00476824" w:rsidRPr="009C7C8A" w:rsidRDefault="00476824" w:rsidP="00476824">
      <w:pPr>
        <w:rPr>
          <w:sz w:val="20"/>
          <w:szCs w:val="20"/>
        </w:rPr>
      </w:pPr>
      <w:r w:rsidRPr="009C7C8A">
        <w:rPr>
          <w:sz w:val="20"/>
          <w:szCs w:val="20"/>
        </w:rPr>
        <w:t>Ian Morrison, IBM - Director, Intelligent Cloud Technical Sales: US Health &amp; Life Sciences</w:t>
      </w:r>
    </w:p>
    <w:p w:rsidR="00476824" w:rsidRPr="009C7C8A" w:rsidRDefault="00476824" w:rsidP="00476824">
      <w:pPr>
        <w:rPr>
          <w:sz w:val="20"/>
          <w:szCs w:val="20"/>
          <w:u w:val="single"/>
        </w:rPr>
      </w:pPr>
      <w:r w:rsidRPr="009C7C8A">
        <w:rPr>
          <w:sz w:val="20"/>
          <w:szCs w:val="20"/>
          <w:u w:val="single"/>
        </w:rPr>
        <w:t>Bio</w:t>
      </w:r>
    </w:p>
    <w:p w:rsidR="00476824" w:rsidRPr="00F7343C" w:rsidRDefault="00476824" w:rsidP="00476824">
      <w:pPr>
        <w:rPr>
          <w:sz w:val="20"/>
          <w:szCs w:val="20"/>
        </w:rPr>
      </w:pPr>
      <w:r w:rsidRPr="00F7343C">
        <w:rPr>
          <w:sz w:val="20"/>
          <w:szCs w:val="20"/>
        </w:rPr>
        <w:t>Ian Morrison is a Technical Specialist Sales Director within Microsoft’s Healthcare and Life Sciences organization.  His team envisions and builds innovative industry solutions that enable healthcare customers to transform their businesses and improve quality of life by leveraging the power of the Microsoft cloud. Over his 11+ year career at Microsoft, he has witnessed cloud computing grow from its infancy to mainstream adoption and has held many roles ranging from customer technical strategist to technical sales leadership.  Prior to Microsoft, he held security architect roles with both Oracle and CA, Inc. and has advised some of the largest commercial and government clients in the US.  Aside from his passion for technology, Ian is a competitive triathlete and father of three, living in update New York.</w:t>
      </w:r>
    </w:p>
    <w:p w:rsidR="00476824" w:rsidRPr="00F7343C" w:rsidRDefault="00476824" w:rsidP="00476824">
      <w:pPr>
        <w:rPr>
          <w:bCs/>
          <w:sz w:val="20"/>
          <w:szCs w:val="20"/>
          <w:u w:val="single"/>
        </w:rPr>
      </w:pPr>
      <w:r w:rsidRPr="00F7343C">
        <w:rPr>
          <w:bCs/>
          <w:sz w:val="20"/>
          <w:szCs w:val="20"/>
          <w:u w:val="single"/>
        </w:rPr>
        <w:t>Presentation Abstract</w:t>
      </w:r>
    </w:p>
    <w:p w:rsidR="00476824" w:rsidRPr="00F7343C" w:rsidRDefault="00476824" w:rsidP="00476824">
      <w:pPr>
        <w:rPr>
          <w:sz w:val="20"/>
          <w:szCs w:val="20"/>
        </w:rPr>
      </w:pPr>
      <w:r w:rsidRPr="00F7343C">
        <w:rPr>
          <w:sz w:val="20"/>
          <w:szCs w:val="20"/>
        </w:rPr>
        <w:t xml:space="preserve">Over the past few years, the pace of technology innovation has accelerated and new capabilities for reasoning over big data with advanced analytics and machine learning tools in the cloud have unlocked opportunities to solve problems we have faced for decades.  This rapid growth has raised many new challenges and questions as well: Is </w:t>
      </w:r>
      <w:r w:rsidRPr="00F7343C">
        <w:rPr>
          <w:sz w:val="20"/>
          <w:szCs w:val="20"/>
        </w:rPr>
        <w:lastRenderedPageBreak/>
        <w:t>AI hype or truly the future?  How do we ensure ethical AI?  How do we educate and develop skills to keep pace with this new paradigm?  This presentation will guide you through a brief journey of how we got here and what the future holds as well as taking a look at practical applications of AI we are currently seeing in the industry and how we are solving some of these new challenges.</w:t>
      </w:r>
    </w:p>
    <w:p w:rsidR="00E20D13" w:rsidRDefault="00E20D13" w:rsidP="00B44853"/>
    <w:p w:rsidR="00476824" w:rsidRDefault="00476824" w:rsidP="00476824">
      <w:pPr>
        <w:rPr>
          <w:sz w:val="24"/>
        </w:rPr>
      </w:pPr>
      <w:r w:rsidRPr="00A744E6">
        <w:rPr>
          <w:b/>
          <w:sz w:val="28"/>
        </w:rPr>
        <w:t>Paper Presentations Session</w:t>
      </w:r>
      <w:r w:rsidRPr="00403D4E">
        <w:rPr>
          <w:rStyle w:val="FootnoteReference"/>
          <w:b/>
          <w:sz w:val="28"/>
        </w:rPr>
        <w:sym w:font="Symbol" w:char="F0A7"/>
      </w:r>
      <w:r>
        <w:rPr>
          <w:b/>
          <w:sz w:val="24"/>
        </w:rPr>
        <w:t xml:space="preserve"> </w:t>
      </w:r>
      <w:r w:rsidRPr="00D1271E">
        <w:rPr>
          <w:sz w:val="24"/>
        </w:rPr>
        <w:t>(11 – 12:30</w:t>
      </w:r>
      <w:r>
        <w:rPr>
          <w:sz w:val="24"/>
        </w:rPr>
        <w:t xml:space="preserve"> PM</w:t>
      </w:r>
      <w:r w:rsidRPr="00D1271E">
        <w:rPr>
          <w:sz w:val="24"/>
        </w:rPr>
        <w:t>)</w:t>
      </w:r>
    </w:p>
    <w:p w:rsidR="00476824" w:rsidRPr="003A7F4D" w:rsidRDefault="00476824" w:rsidP="00476824">
      <w:pPr>
        <w:rPr>
          <w:sz w:val="20"/>
          <w:szCs w:val="20"/>
        </w:rPr>
      </w:pPr>
      <w:r w:rsidRPr="00F7343C">
        <w:rPr>
          <w:sz w:val="20"/>
          <w:szCs w:val="20"/>
          <w:u w:val="single"/>
        </w:rPr>
        <w:t xml:space="preserve">Track 1 </w:t>
      </w:r>
      <w:r>
        <w:rPr>
          <w:sz w:val="20"/>
          <w:szCs w:val="20"/>
          <w:u w:val="single"/>
        </w:rPr>
        <w:t xml:space="preserve">– Social Media, Digital Divide </w:t>
      </w:r>
      <w:r>
        <w:rPr>
          <w:sz w:val="20"/>
          <w:szCs w:val="20"/>
        </w:rPr>
        <w:t>(Smith 304)</w:t>
      </w:r>
    </w:p>
    <w:p w:rsidR="00476824" w:rsidRPr="00062672" w:rsidRDefault="00476824" w:rsidP="00476824">
      <w:pPr>
        <w:pStyle w:val="ListParagraph"/>
        <w:numPr>
          <w:ilvl w:val="0"/>
          <w:numId w:val="1"/>
        </w:numPr>
        <w:jc w:val="left"/>
        <w:rPr>
          <w:sz w:val="20"/>
        </w:rPr>
      </w:pPr>
      <w:r w:rsidRPr="00062672">
        <w:rPr>
          <w:i/>
          <w:sz w:val="20"/>
        </w:rPr>
        <w:t xml:space="preserve">Social Media Affordances and Social Movement Organizations in Green IS. </w:t>
      </w:r>
      <w:r w:rsidRPr="00062672">
        <w:rPr>
          <w:sz w:val="20"/>
        </w:rPr>
        <w:t xml:space="preserve">Carol Lee and </w:t>
      </w:r>
      <w:proofErr w:type="spellStart"/>
      <w:r w:rsidRPr="00062672">
        <w:rPr>
          <w:sz w:val="20"/>
        </w:rPr>
        <w:t>Pratyush</w:t>
      </w:r>
      <w:proofErr w:type="spellEnd"/>
      <w:r w:rsidRPr="00062672">
        <w:rPr>
          <w:sz w:val="20"/>
        </w:rPr>
        <w:t xml:space="preserve"> </w:t>
      </w:r>
      <w:proofErr w:type="spellStart"/>
      <w:r w:rsidRPr="00062672">
        <w:rPr>
          <w:sz w:val="20"/>
        </w:rPr>
        <w:t>Bharati</w:t>
      </w:r>
      <w:proofErr w:type="spellEnd"/>
      <w:r w:rsidRPr="00062672">
        <w:rPr>
          <w:sz w:val="20"/>
        </w:rPr>
        <w:t>. U Mass Boston</w:t>
      </w:r>
    </w:p>
    <w:p w:rsidR="00476824" w:rsidRDefault="00476824" w:rsidP="00476824">
      <w:pPr>
        <w:pStyle w:val="ListParagraph"/>
        <w:numPr>
          <w:ilvl w:val="0"/>
          <w:numId w:val="1"/>
        </w:numPr>
        <w:jc w:val="left"/>
        <w:rPr>
          <w:sz w:val="20"/>
        </w:rPr>
      </w:pPr>
      <w:r w:rsidRPr="00062672">
        <w:rPr>
          <w:i/>
          <w:sz w:val="20"/>
        </w:rPr>
        <w:t xml:space="preserve">Firm Performance and Social Media Content – Is the “Quiet Period” Quiet in This Information Rich World? </w:t>
      </w:r>
      <w:r w:rsidRPr="00062672">
        <w:rPr>
          <w:sz w:val="20"/>
        </w:rPr>
        <w:t>Julie Zhang. U Mass Lowell</w:t>
      </w:r>
    </w:p>
    <w:p w:rsidR="00476824" w:rsidRDefault="00476824" w:rsidP="00476824">
      <w:pPr>
        <w:pStyle w:val="ListParagraph"/>
        <w:numPr>
          <w:ilvl w:val="0"/>
          <w:numId w:val="1"/>
        </w:numPr>
        <w:jc w:val="left"/>
        <w:rPr>
          <w:sz w:val="20"/>
        </w:rPr>
      </w:pPr>
      <w:r w:rsidRPr="00062672">
        <w:rPr>
          <w:i/>
          <w:sz w:val="20"/>
        </w:rPr>
        <w:t xml:space="preserve">Uncovering Approaches to Educating People </w:t>
      </w:r>
      <w:proofErr w:type="gramStart"/>
      <w:r w:rsidRPr="00062672">
        <w:rPr>
          <w:i/>
          <w:sz w:val="20"/>
        </w:rPr>
        <w:t>About</w:t>
      </w:r>
      <w:proofErr w:type="gramEnd"/>
      <w:r w:rsidRPr="00062672">
        <w:rPr>
          <w:i/>
          <w:sz w:val="20"/>
        </w:rPr>
        <w:t xml:space="preserve"> Privacy on Facebook.</w:t>
      </w:r>
      <w:r w:rsidRPr="00062672">
        <w:rPr>
          <w:sz w:val="20"/>
        </w:rPr>
        <w:t xml:space="preserve"> Alexa Stein, Megan Cater, Norman Makoto Su, </w:t>
      </w:r>
      <w:proofErr w:type="spellStart"/>
      <w:r w:rsidRPr="00062672">
        <w:rPr>
          <w:sz w:val="20"/>
        </w:rPr>
        <w:t>Mainack</w:t>
      </w:r>
      <w:proofErr w:type="spellEnd"/>
      <w:r w:rsidRPr="00062672">
        <w:rPr>
          <w:sz w:val="20"/>
        </w:rPr>
        <w:t xml:space="preserve"> </w:t>
      </w:r>
      <w:proofErr w:type="spellStart"/>
      <w:r w:rsidRPr="00062672">
        <w:rPr>
          <w:sz w:val="20"/>
        </w:rPr>
        <w:t>Mondal</w:t>
      </w:r>
      <w:proofErr w:type="spellEnd"/>
      <w:r w:rsidRPr="00062672">
        <w:rPr>
          <w:sz w:val="20"/>
        </w:rPr>
        <w:t>, Xinru Page. Bentley University, Indiana University and Cornell University</w:t>
      </w:r>
    </w:p>
    <w:p w:rsidR="00476824" w:rsidRPr="00062672" w:rsidRDefault="00476824" w:rsidP="00476824">
      <w:pPr>
        <w:pStyle w:val="ListParagraph"/>
        <w:numPr>
          <w:ilvl w:val="0"/>
          <w:numId w:val="1"/>
        </w:numPr>
        <w:jc w:val="left"/>
        <w:rPr>
          <w:sz w:val="20"/>
        </w:rPr>
      </w:pPr>
      <w:r w:rsidRPr="00062672">
        <w:rPr>
          <w:i/>
          <w:sz w:val="20"/>
        </w:rPr>
        <w:t xml:space="preserve">Group Affiliation, Online Communities, and Time: An Empirical Study on Kiva. </w:t>
      </w:r>
      <w:r w:rsidRPr="00062672">
        <w:rPr>
          <w:sz w:val="20"/>
        </w:rPr>
        <w:t>Yue Jiao and Ho Cheung Brian Lee. U Mass Lowell</w:t>
      </w:r>
    </w:p>
    <w:p w:rsidR="00476824" w:rsidRPr="00062672" w:rsidRDefault="00476824" w:rsidP="00476824">
      <w:pPr>
        <w:pStyle w:val="ListParagraph"/>
        <w:numPr>
          <w:ilvl w:val="0"/>
          <w:numId w:val="1"/>
        </w:numPr>
        <w:jc w:val="left"/>
        <w:rPr>
          <w:sz w:val="20"/>
        </w:rPr>
      </w:pPr>
      <w:r w:rsidRPr="00062672">
        <w:rPr>
          <w:i/>
          <w:sz w:val="20"/>
        </w:rPr>
        <w:t xml:space="preserve">An Exploratory Study of the Role of Information Systems in Accommodation Processes in Organizations. </w:t>
      </w:r>
      <w:proofErr w:type="spellStart"/>
      <w:r w:rsidRPr="00062672">
        <w:rPr>
          <w:sz w:val="20"/>
        </w:rPr>
        <w:t>Shiya</w:t>
      </w:r>
      <w:proofErr w:type="spellEnd"/>
      <w:r w:rsidRPr="00062672">
        <w:rPr>
          <w:sz w:val="20"/>
        </w:rPr>
        <w:t xml:space="preserve"> Cao and Eleanor </w:t>
      </w:r>
      <w:proofErr w:type="spellStart"/>
      <w:r w:rsidRPr="00062672">
        <w:rPr>
          <w:sz w:val="20"/>
        </w:rPr>
        <w:t>Loiacono</w:t>
      </w:r>
      <w:proofErr w:type="spellEnd"/>
      <w:r w:rsidRPr="00062672">
        <w:rPr>
          <w:sz w:val="20"/>
        </w:rPr>
        <w:t>. Worcester Polytechnic Institute</w:t>
      </w:r>
    </w:p>
    <w:p w:rsidR="00476824" w:rsidRDefault="00476824" w:rsidP="00476824">
      <w:pPr>
        <w:pStyle w:val="ListParagraph"/>
        <w:numPr>
          <w:ilvl w:val="0"/>
          <w:numId w:val="1"/>
        </w:numPr>
        <w:jc w:val="left"/>
        <w:rPr>
          <w:sz w:val="20"/>
        </w:rPr>
      </w:pPr>
      <w:r w:rsidRPr="00062672">
        <w:rPr>
          <w:i/>
          <w:sz w:val="20"/>
        </w:rPr>
        <w:t xml:space="preserve">Exploring Digital Culture: Values and Practices Driving Success in a Digital World. </w:t>
      </w:r>
      <w:r w:rsidRPr="00062672">
        <w:rPr>
          <w:sz w:val="20"/>
        </w:rPr>
        <w:t xml:space="preserve">Deborah Soule and George </w:t>
      </w:r>
      <w:proofErr w:type="spellStart"/>
      <w:r w:rsidRPr="00062672">
        <w:rPr>
          <w:sz w:val="20"/>
        </w:rPr>
        <w:t>Westerman</w:t>
      </w:r>
      <w:proofErr w:type="spellEnd"/>
      <w:r w:rsidRPr="00062672">
        <w:rPr>
          <w:sz w:val="20"/>
        </w:rPr>
        <w:t>. Massachusetts Institute of Technology.</w:t>
      </w:r>
    </w:p>
    <w:p w:rsidR="00476824" w:rsidRDefault="00476824" w:rsidP="00476824">
      <w:pPr>
        <w:pStyle w:val="ListParagraph"/>
        <w:numPr>
          <w:ilvl w:val="0"/>
          <w:numId w:val="1"/>
        </w:numPr>
        <w:jc w:val="left"/>
        <w:rPr>
          <w:sz w:val="20"/>
        </w:rPr>
      </w:pPr>
      <w:r w:rsidRPr="003A7F4D">
        <w:rPr>
          <w:i/>
          <w:sz w:val="20"/>
        </w:rPr>
        <w:t xml:space="preserve">Digital Divide’s Impact on Cyber Security – An Exploratory Study. </w:t>
      </w:r>
      <w:r w:rsidRPr="003A7F4D">
        <w:rPr>
          <w:sz w:val="20"/>
        </w:rPr>
        <w:t xml:space="preserve">Ramakrishna </w:t>
      </w:r>
      <w:proofErr w:type="spellStart"/>
      <w:r w:rsidRPr="003A7F4D">
        <w:rPr>
          <w:sz w:val="20"/>
        </w:rPr>
        <w:t>Ayyagari</w:t>
      </w:r>
      <w:proofErr w:type="spellEnd"/>
      <w:r w:rsidRPr="003A7F4D">
        <w:rPr>
          <w:sz w:val="20"/>
        </w:rPr>
        <w:t>. U. Mass Boston</w:t>
      </w:r>
    </w:p>
    <w:p w:rsidR="00476824" w:rsidRPr="003A7F4D" w:rsidRDefault="00476824" w:rsidP="00476824">
      <w:pPr>
        <w:pStyle w:val="ListParagraph"/>
        <w:ind w:left="360" w:firstLine="0"/>
        <w:jc w:val="left"/>
        <w:rPr>
          <w:sz w:val="20"/>
        </w:rPr>
      </w:pPr>
    </w:p>
    <w:p w:rsidR="00476824" w:rsidRPr="00F7343C" w:rsidRDefault="00476824" w:rsidP="00476824">
      <w:pPr>
        <w:rPr>
          <w:sz w:val="20"/>
          <w:u w:val="single"/>
        </w:rPr>
      </w:pPr>
      <w:r w:rsidRPr="00F7343C">
        <w:rPr>
          <w:sz w:val="20"/>
          <w:u w:val="single"/>
        </w:rPr>
        <w:t>Track 2</w:t>
      </w:r>
      <w:r>
        <w:rPr>
          <w:sz w:val="20"/>
          <w:u w:val="single"/>
        </w:rPr>
        <w:t xml:space="preserve"> – Miscellaneous Topics (Smith 305) </w:t>
      </w:r>
    </w:p>
    <w:p w:rsidR="00476824" w:rsidRPr="00062672" w:rsidRDefault="00476824" w:rsidP="00476824">
      <w:pPr>
        <w:pStyle w:val="ListParagraph"/>
        <w:numPr>
          <w:ilvl w:val="0"/>
          <w:numId w:val="1"/>
        </w:numPr>
        <w:jc w:val="left"/>
        <w:rPr>
          <w:sz w:val="20"/>
        </w:rPr>
      </w:pPr>
      <w:r w:rsidRPr="00062672">
        <w:rPr>
          <w:i/>
          <w:sz w:val="20"/>
        </w:rPr>
        <w:t xml:space="preserve">IS Idiosyncratic Topics for MBA Business Analytics </w:t>
      </w:r>
      <w:proofErr w:type="gramStart"/>
      <w:r w:rsidRPr="00062672">
        <w:rPr>
          <w:i/>
          <w:sz w:val="20"/>
        </w:rPr>
        <w:t>Programs.</w:t>
      </w:r>
      <w:proofErr w:type="gramEnd"/>
      <w:r w:rsidRPr="00062672">
        <w:rPr>
          <w:i/>
          <w:sz w:val="20"/>
        </w:rPr>
        <w:t xml:space="preserve"> </w:t>
      </w:r>
      <w:proofErr w:type="spellStart"/>
      <w:r w:rsidRPr="00062672">
        <w:rPr>
          <w:sz w:val="20"/>
        </w:rPr>
        <w:t>Shouhong</w:t>
      </w:r>
      <w:proofErr w:type="spellEnd"/>
      <w:r w:rsidRPr="00062672">
        <w:rPr>
          <w:sz w:val="20"/>
        </w:rPr>
        <w:t xml:space="preserve"> Wang, U Mass Dartmouth</w:t>
      </w:r>
    </w:p>
    <w:p w:rsidR="00476824" w:rsidRPr="00062672" w:rsidRDefault="00476824" w:rsidP="00476824">
      <w:pPr>
        <w:pStyle w:val="ListParagraph"/>
        <w:numPr>
          <w:ilvl w:val="0"/>
          <w:numId w:val="1"/>
        </w:numPr>
        <w:jc w:val="left"/>
        <w:rPr>
          <w:sz w:val="20"/>
        </w:rPr>
      </w:pPr>
      <w:r w:rsidRPr="00062672">
        <w:rPr>
          <w:i/>
          <w:sz w:val="20"/>
        </w:rPr>
        <w:t xml:space="preserve">Digital Business Strategy as an Initiator of E-business Value Creation. </w:t>
      </w:r>
      <w:r w:rsidRPr="00062672">
        <w:rPr>
          <w:sz w:val="20"/>
        </w:rPr>
        <w:t xml:space="preserve">Jin Zhao, </w:t>
      </w:r>
      <w:proofErr w:type="spellStart"/>
      <w:r w:rsidRPr="00062672">
        <w:rPr>
          <w:sz w:val="20"/>
        </w:rPr>
        <w:t>Maomao</w:t>
      </w:r>
      <w:proofErr w:type="spellEnd"/>
      <w:r w:rsidRPr="00062672">
        <w:rPr>
          <w:sz w:val="20"/>
        </w:rPr>
        <w:t xml:space="preserve"> Chi, </w:t>
      </w:r>
      <w:proofErr w:type="spellStart"/>
      <w:r w:rsidRPr="00062672">
        <w:rPr>
          <w:sz w:val="20"/>
        </w:rPr>
        <w:t>Rui</w:t>
      </w:r>
      <w:proofErr w:type="spellEnd"/>
      <w:r w:rsidRPr="00062672">
        <w:rPr>
          <w:sz w:val="20"/>
        </w:rPr>
        <w:t xml:space="preserve"> Huang, and </w:t>
      </w:r>
      <w:proofErr w:type="spellStart"/>
      <w:r w:rsidRPr="00062672">
        <w:rPr>
          <w:sz w:val="20"/>
        </w:rPr>
        <w:t>Yuzhu</w:t>
      </w:r>
      <w:proofErr w:type="spellEnd"/>
      <w:r w:rsidRPr="00062672">
        <w:rPr>
          <w:sz w:val="20"/>
        </w:rPr>
        <w:t xml:space="preserve"> Li. U Mass Dartmouth</w:t>
      </w:r>
    </w:p>
    <w:p w:rsidR="00476824" w:rsidRPr="00062672" w:rsidRDefault="00476824" w:rsidP="00476824">
      <w:pPr>
        <w:pStyle w:val="ListParagraph"/>
        <w:numPr>
          <w:ilvl w:val="0"/>
          <w:numId w:val="1"/>
        </w:numPr>
        <w:jc w:val="left"/>
        <w:rPr>
          <w:sz w:val="20"/>
        </w:rPr>
      </w:pPr>
      <w:r w:rsidRPr="00062672">
        <w:rPr>
          <w:i/>
          <w:sz w:val="20"/>
        </w:rPr>
        <w:t xml:space="preserve">Value Implications of Autonomous Cars for the Automobile Ecosystem: An Event Study. </w:t>
      </w:r>
      <w:proofErr w:type="spellStart"/>
      <w:r w:rsidRPr="00062672">
        <w:rPr>
          <w:sz w:val="20"/>
        </w:rPr>
        <w:t>Xiaochen</w:t>
      </w:r>
      <w:proofErr w:type="spellEnd"/>
      <w:r w:rsidRPr="00062672">
        <w:rPr>
          <w:sz w:val="20"/>
        </w:rPr>
        <w:t xml:space="preserve"> Zhu and </w:t>
      </w:r>
      <w:proofErr w:type="spellStart"/>
      <w:r w:rsidRPr="00062672">
        <w:rPr>
          <w:sz w:val="20"/>
        </w:rPr>
        <w:t>Kui</w:t>
      </w:r>
      <w:proofErr w:type="spellEnd"/>
      <w:r w:rsidRPr="00062672">
        <w:rPr>
          <w:sz w:val="20"/>
        </w:rPr>
        <w:t xml:space="preserve"> Du. U Mass Boston</w:t>
      </w:r>
    </w:p>
    <w:p w:rsidR="00476824" w:rsidRPr="00062672" w:rsidRDefault="00476824" w:rsidP="00476824">
      <w:pPr>
        <w:pStyle w:val="ListParagraph"/>
        <w:numPr>
          <w:ilvl w:val="0"/>
          <w:numId w:val="1"/>
        </w:numPr>
        <w:jc w:val="left"/>
        <w:rPr>
          <w:sz w:val="20"/>
        </w:rPr>
      </w:pPr>
      <w:r w:rsidRPr="00062672">
        <w:rPr>
          <w:i/>
          <w:sz w:val="20"/>
        </w:rPr>
        <w:t xml:space="preserve">Data Acquisition Accounting for Customer Heterogeneity. </w:t>
      </w:r>
      <w:r w:rsidRPr="00062672">
        <w:rPr>
          <w:sz w:val="20"/>
        </w:rPr>
        <w:t xml:space="preserve">Xiaoping Liu and </w:t>
      </w:r>
      <w:proofErr w:type="spellStart"/>
      <w:r w:rsidRPr="00062672">
        <w:rPr>
          <w:sz w:val="20"/>
        </w:rPr>
        <w:t>Xiaobai</w:t>
      </w:r>
      <w:proofErr w:type="spellEnd"/>
      <w:r w:rsidRPr="00062672">
        <w:rPr>
          <w:sz w:val="20"/>
        </w:rPr>
        <w:t xml:space="preserve"> li. Northeastern University and U Mass Lowell</w:t>
      </w:r>
    </w:p>
    <w:p w:rsidR="00476824" w:rsidRPr="00062672" w:rsidRDefault="00476824" w:rsidP="00476824">
      <w:pPr>
        <w:pStyle w:val="ListParagraph"/>
        <w:numPr>
          <w:ilvl w:val="0"/>
          <w:numId w:val="1"/>
        </w:numPr>
        <w:jc w:val="left"/>
        <w:rPr>
          <w:sz w:val="20"/>
        </w:rPr>
      </w:pPr>
      <w:r w:rsidRPr="00062672">
        <w:rPr>
          <w:i/>
          <w:sz w:val="20"/>
        </w:rPr>
        <w:t xml:space="preserve">Electronic Word of Mouth in Healthcare: Do Hospitals in the Northeastern United States Offer Physician Review Systems. </w:t>
      </w:r>
      <w:proofErr w:type="spellStart"/>
      <w:r w:rsidRPr="00062672">
        <w:rPr>
          <w:sz w:val="20"/>
        </w:rPr>
        <w:t>Nima</w:t>
      </w:r>
      <w:proofErr w:type="spellEnd"/>
      <w:r w:rsidRPr="00062672">
        <w:rPr>
          <w:sz w:val="20"/>
        </w:rPr>
        <w:t xml:space="preserve"> </w:t>
      </w:r>
      <w:proofErr w:type="spellStart"/>
      <w:r w:rsidRPr="00062672">
        <w:rPr>
          <w:sz w:val="20"/>
        </w:rPr>
        <w:t>Kordzadeh</w:t>
      </w:r>
      <w:proofErr w:type="spellEnd"/>
      <w:r w:rsidRPr="00062672">
        <w:rPr>
          <w:sz w:val="20"/>
        </w:rPr>
        <w:t>. Worcester Polytechnic Institute.</w:t>
      </w:r>
    </w:p>
    <w:p w:rsidR="00476824" w:rsidRPr="00062672" w:rsidRDefault="00476824" w:rsidP="00476824">
      <w:pPr>
        <w:pStyle w:val="ListParagraph"/>
        <w:numPr>
          <w:ilvl w:val="0"/>
          <w:numId w:val="1"/>
        </w:numPr>
        <w:jc w:val="left"/>
        <w:rPr>
          <w:sz w:val="20"/>
        </w:rPr>
      </w:pPr>
      <w:r w:rsidRPr="00062672">
        <w:rPr>
          <w:i/>
          <w:sz w:val="20"/>
        </w:rPr>
        <w:t xml:space="preserve">Backers or Socializers? Alternative </w:t>
      </w:r>
      <w:proofErr w:type="spellStart"/>
      <w:r w:rsidRPr="00062672">
        <w:rPr>
          <w:i/>
          <w:sz w:val="20"/>
        </w:rPr>
        <w:t>Transactive</w:t>
      </w:r>
      <w:proofErr w:type="spellEnd"/>
      <w:r w:rsidRPr="00062672">
        <w:rPr>
          <w:i/>
          <w:sz w:val="20"/>
        </w:rPr>
        <w:t xml:space="preserve"> Memory Mechanisms for Learning by Co-creation. </w:t>
      </w:r>
      <w:r w:rsidRPr="00062672">
        <w:rPr>
          <w:sz w:val="20"/>
        </w:rPr>
        <w:t xml:space="preserve">Emre Guzelsu and Nitin </w:t>
      </w:r>
      <w:proofErr w:type="spellStart"/>
      <w:r w:rsidRPr="00062672">
        <w:rPr>
          <w:sz w:val="20"/>
        </w:rPr>
        <w:t>Joglekar</w:t>
      </w:r>
      <w:proofErr w:type="spellEnd"/>
      <w:r w:rsidRPr="00062672">
        <w:rPr>
          <w:sz w:val="20"/>
        </w:rPr>
        <w:t>. Boston University</w:t>
      </w:r>
    </w:p>
    <w:p w:rsidR="00476824" w:rsidRPr="00062672" w:rsidRDefault="00476824" w:rsidP="00476824">
      <w:pPr>
        <w:pStyle w:val="ListParagraph"/>
        <w:numPr>
          <w:ilvl w:val="0"/>
          <w:numId w:val="1"/>
        </w:numPr>
        <w:jc w:val="left"/>
        <w:rPr>
          <w:sz w:val="20"/>
        </w:rPr>
      </w:pPr>
      <w:r w:rsidRPr="00062672">
        <w:rPr>
          <w:i/>
          <w:sz w:val="20"/>
        </w:rPr>
        <w:t xml:space="preserve">Impact of Cloud Computing on Firms’ Financial Performance. </w:t>
      </w:r>
      <w:r w:rsidRPr="00062672">
        <w:rPr>
          <w:sz w:val="20"/>
        </w:rPr>
        <w:t>Ali Ahmed and Luvai Motiwalla. U Mass Lowell</w:t>
      </w:r>
    </w:p>
    <w:p w:rsidR="00476824" w:rsidRPr="00476824" w:rsidRDefault="00476824" w:rsidP="00476824">
      <w:pPr>
        <w:pStyle w:val="ListParagraph"/>
        <w:ind w:left="360" w:firstLine="0"/>
        <w:rPr>
          <w:sz w:val="20"/>
        </w:rPr>
      </w:pPr>
    </w:p>
    <w:p w:rsidR="00476824" w:rsidRPr="00476824" w:rsidRDefault="00476824" w:rsidP="00476824">
      <w:pPr>
        <w:pStyle w:val="ListParagraph"/>
        <w:pBdr>
          <w:top w:val="single" w:sz="4" w:space="1" w:color="auto"/>
        </w:pBdr>
        <w:ind w:left="360" w:firstLine="0"/>
        <w:rPr>
          <w:sz w:val="20"/>
        </w:rPr>
      </w:pPr>
      <w:r w:rsidRPr="00403D4E">
        <w:rPr>
          <w:rStyle w:val="FootnoteReference"/>
          <w:b/>
          <w:sz w:val="28"/>
        </w:rPr>
        <w:sym w:font="Symbol" w:char="F0A7"/>
      </w:r>
      <w:r w:rsidRPr="00476824">
        <w:rPr>
          <w:b/>
          <w:sz w:val="28"/>
        </w:rPr>
        <w:t xml:space="preserve"> </w:t>
      </w:r>
      <w:r w:rsidRPr="00476824">
        <w:rPr>
          <w:sz w:val="20"/>
        </w:rPr>
        <w:t>Each presentation will be like Slam Sessions of 10 minutes (approximately)</w:t>
      </w:r>
    </w:p>
    <w:p w:rsidR="00E20D13" w:rsidRDefault="00E20D13" w:rsidP="00B44853"/>
    <w:p w:rsidR="00476824" w:rsidRDefault="00476824" w:rsidP="00B44853"/>
    <w:p w:rsidR="00B44853" w:rsidRDefault="00E20D13">
      <w:r>
        <w:rPr>
          <w:noProof/>
        </w:rPr>
        <w:drawing>
          <wp:inline distT="0" distB="0" distL="0" distR="0">
            <wp:extent cx="1904734" cy="1072966"/>
            <wp:effectExtent l="0" t="0" r="635" b="0"/>
            <wp:docPr id="3" name="Picture 3" descr="cid:image001.jpg@01D50C8E.2FF5B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6370BB-AA74-46D5-98F4-0E3F73CB4908" descr="cid:image001.jpg@01D50C8E.2FF5B9A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56212" cy="1101964"/>
                    </a:xfrm>
                    <a:prstGeom prst="rect">
                      <a:avLst/>
                    </a:prstGeom>
                    <a:noFill/>
                    <a:ln>
                      <a:noFill/>
                    </a:ln>
                  </pic:spPr>
                </pic:pic>
              </a:graphicData>
            </a:graphic>
          </wp:inline>
        </w:drawing>
      </w:r>
      <w:r>
        <w:rPr>
          <w:noProof/>
        </w:rPr>
        <w:tab/>
      </w:r>
      <w:r>
        <w:rPr>
          <w:noProof/>
        </w:rPr>
        <w:tab/>
      </w:r>
      <w:r>
        <w:rPr>
          <w:noProof/>
        </w:rPr>
        <w:tab/>
      </w:r>
      <w:r>
        <w:rPr>
          <w:noProof/>
        </w:rPr>
        <w:tab/>
      </w:r>
      <w:r>
        <w:rPr>
          <w:noProof/>
        </w:rPr>
        <w:drawing>
          <wp:inline distT="0" distB="0" distL="0" distR="0" wp14:anchorId="07E9137E" wp14:editId="139D8398">
            <wp:extent cx="2044245" cy="947008"/>
            <wp:effectExtent l="0" t="0" r="0" b="5715"/>
            <wp:docPr id="4" name="Picture 4" descr="cid:image002.png@01D50C8E.2FF5B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D3191-6687-4BEE-A632-A23C4A03EA05" descr="cid:image002.png@01D50C8E.2FF5B9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37740" cy="990320"/>
                    </a:xfrm>
                    <a:prstGeom prst="rect">
                      <a:avLst/>
                    </a:prstGeom>
                    <a:noFill/>
                    <a:ln>
                      <a:noFill/>
                    </a:ln>
                  </pic:spPr>
                </pic:pic>
              </a:graphicData>
            </a:graphic>
          </wp:inline>
        </w:drawing>
      </w:r>
      <w:r w:rsidR="00B44853">
        <w:rPr>
          <w:sz w:val="20"/>
        </w:rPr>
        <w:br/>
      </w:r>
      <w:bookmarkStart w:id="0" w:name="_GoBack"/>
      <w:bookmarkEnd w:id="0"/>
    </w:p>
    <w:sectPr w:rsidR="00B4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2D81"/>
    <w:multiLevelType w:val="hybridMultilevel"/>
    <w:tmpl w:val="11A89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53"/>
    <w:rsid w:val="00037555"/>
    <w:rsid w:val="002064E1"/>
    <w:rsid w:val="00476824"/>
    <w:rsid w:val="009C7C8A"/>
    <w:rsid w:val="00B44853"/>
    <w:rsid w:val="00E2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75C2"/>
  <w15:chartTrackingRefBased/>
  <w15:docId w15:val="{C2B8A32E-F2BA-4697-9B5C-474F3B1E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53"/>
    <w:pPr>
      <w:spacing w:after="0" w:line="240" w:lineRule="exact"/>
      <w:ind w:left="720" w:firstLine="245"/>
      <w:contextualSpacing/>
      <w:jc w:val="both"/>
    </w:pPr>
  </w:style>
  <w:style w:type="table" w:styleId="TableGrid">
    <w:name w:val="Table Grid"/>
    <w:basedOn w:val="TableNormal"/>
    <w:uiPriority w:val="39"/>
    <w:rsid w:val="00B44853"/>
    <w:pPr>
      <w:spacing w:after="0" w:line="240" w:lineRule="auto"/>
      <w:ind w:firstLine="24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4485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4853"/>
    <w:rPr>
      <w:rFonts w:ascii="Calibri" w:hAnsi="Calibri"/>
      <w:szCs w:val="21"/>
    </w:rPr>
  </w:style>
  <w:style w:type="character" w:styleId="Hyperlink">
    <w:name w:val="Hyperlink"/>
    <w:basedOn w:val="DefaultParagraphFont"/>
    <w:uiPriority w:val="99"/>
    <w:semiHidden/>
    <w:unhideWhenUsed/>
    <w:rsid w:val="00B44853"/>
    <w:rPr>
      <w:color w:val="0000FF"/>
      <w:u w:val="single"/>
    </w:rPr>
  </w:style>
  <w:style w:type="character" w:styleId="FootnoteReference">
    <w:name w:val="footnote reference"/>
    <w:basedOn w:val="DefaultParagraphFont"/>
    <w:uiPriority w:val="99"/>
    <w:semiHidden/>
    <w:unhideWhenUsed/>
    <w:rsid w:val="00B44853"/>
    <w:rPr>
      <w:vertAlign w:val="superscript"/>
    </w:rPr>
  </w:style>
  <w:style w:type="character" w:customStyle="1" w:styleId="apple-converted-space">
    <w:name w:val="apple-converted-space"/>
    <w:basedOn w:val="DefaultParagraphFont"/>
    <w:rsid w:val="00B4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0C8E.2FF5B9A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3.safelinks.protection.outlook.com/?url=https%3A%2F%2Furldefense.proofpoint.com%2Fv2%2Furl%3Fu%3Dhttps-3A__nam03.safelinks.protection.outlook.com_-3Furl-3Dhttps-253A-252F-252Furldefense.proofpoint.com-252Fv2-252Furl-253Fu-253Dhttps-2D3A-5F-5Fbentley.qualtrics.com-5Fjfe-5Fform-5FSV-2D5F2mMySEcpXByjkX3-2526d-253DDwMFAg-2526c-253DlqHimbpwJeF7VTDNof4ddl8H-2DRbXeAdbMI2MFE1TXqA-2526r-253DSta1vCSZOXIWliC3FCZ3xlCDba-2D2jzbJ7x02eZXYi5Y-2526m-253D1-2DlC8w4y3La1RY3sQjejqsrC-2D5Fp-5F7x9zNdNtpMUvT4-2526s-253DgieiYEOQ4PBS-5FFGLFKfQ9s06HPJH-2DZcUXzgd5OJcHAA-2526e-253D-26data-3D02-257C01-257C-257Cf700cb76c8a4436c2a4e08d6cfc6f778-257C9030beae3cfc4788a9e2130204ff1f10-257C0-257C0-257C636924850790848261-26sdata-3DLtQif-252BP3ZtGxsHw9ZgQKP-252Bi9uXalo1GCcN-252Fi-252FOJF-252Fb0-253D-26reserved-3D0%26d%3DDwMGaQ%26c%3DlqHimbpwJeF7VTDNof4ddl8H-RbXeAdbMI2MFE1TXqA%26r%3DDZT8TYVpXW2Q1lCCImJiih9Swa1ifF8i5zt_Exi5r-w%26m%3D550gdRG0gEOINUZeGFvrp_-EoRMWoyLeq5i0pQDY7ds%26s%3DqLqgcN6b2GnRz9sR-LZLgoqJ3c5CpZR4ycRm-P4aAi8%26e%3D&amp;data=02%7C01%7CDMURUNGI%40bentley.edu%7Ce1ceef1e5b5f4dc80b6308d6d5a9f1f4%7C9030beae3cfc4788a9e2130204ff1f10%7C0%7C0%7C636931323239732574&amp;sdata=3Uz7Eh0dDq7TkCg%2BBw0ne3VGuoa4M2AF%2F8DXtx8hLqw%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2.png@01D50C8E.2FF5B9A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Murungi, David</dc:creator>
  <cp:keywords/>
  <dc:description/>
  <cp:lastModifiedBy>Murungi, David</cp:lastModifiedBy>
  <cp:revision>2</cp:revision>
  <dcterms:created xsi:type="dcterms:W3CDTF">2019-05-20T17:40:00Z</dcterms:created>
  <dcterms:modified xsi:type="dcterms:W3CDTF">2019-05-20T17:40:00Z</dcterms:modified>
</cp:coreProperties>
</file>